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#10</w:t>
      </w:r>
      <w:r>
        <w:rPr>
          <w:rFonts w:hint="eastAsia" w:eastAsia="宋体" w:cs="Arial"/>
          <w:b/>
          <w:color w:val="auto"/>
          <w:sz w:val="24"/>
          <w:szCs w:val="24"/>
          <w:lang w:val="en-US" w:eastAsia="zh-CN"/>
        </w:rPr>
        <w:t xml:space="preserve">9                                </w:t>
      </w:r>
      <w:r>
        <w:rPr>
          <w:rFonts w:hint="default" w:ascii="Arial" w:hAnsi="Arial" w:cs="Arial"/>
          <w:b/>
          <w:color w:val="auto"/>
          <w:sz w:val="24"/>
          <w:lang w:val="en-US" w:eastAsia="zh-CN"/>
        </w:rPr>
        <w:t>R4-23</w:t>
      </w:r>
      <w:r>
        <w:rPr>
          <w:rFonts w:hint="eastAsia" w:cs="Arial"/>
          <w:b/>
          <w:color w:val="auto"/>
          <w:sz w:val="24"/>
          <w:lang w:val="en-US" w:eastAsia="zh-CN"/>
        </w:rPr>
        <w:t>19442</w:t>
      </w:r>
      <w:bookmarkStart w:id="2" w:name="_GoBack"/>
      <w:bookmarkEnd w:id="2"/>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ascii="Arial" w:hAnsi="Arial" w:eastAsia="宋体" w:cs="Arial"/>
          <w:b/>
          <w:sz w:val="24"/>
          <w:szCs w:val="24"/>
          <w:lang w:eastAsia="zh-CN"/>
        </w:rPr>
      </w:pPr>
      <w:r>
        <w:rPr>
          <w:rFonts w:hint="eastAsia" w:eastAsia="宋体" w:cs="Arial"/>
          <w:b/>
          <w:sz w:val="24"/>
          <w:szCs w:val="24"/>
          <w:lang w:val="en-US" w:eastAsia="zh-CN"/>
        </w:rPr>
        <w:t>Chicago</w:t>
      </w:r>
      <w:r>
        <w:rPr>
          <w:rFonts w:ascii="Arial" w:hAnsi="Arial" w:eastAsia="宋体" w:cs="Arial"/>
          <w:b/>
          <w:sz w:val="24"/>
          <w:szCs w:val="24"/>
          <w:lang w:eastAsia="zh-CN"/>
        </w:rPr>
        <w:t xml:space="preserve">, </w:t>
      </w:r>
      <w:r>
        <w:rPr>
          <w:rFonts w:hint="eastAsia" w:eastAsia="宋体" w:cs="Arial"/>
          <w:b/>
          <w:sz w:val="24"/>
          <w:szCs w:val="24"/>
          <w:lang w:val="en-US" w:eastAsia="zh-CN"/>
        </w:rPr>
        <w:t>US</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 2023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intra-band CA</w:t>
      </w:r>
      <w:r>
        <w:rPr>
          <w:rFonts w:hint="default" w:ascii="Arial" w:hAnsi="Arial" w:eastAsia="MS Mincho" w:cs="Arial"/>
          <w:b/>
          <w:sz w:val="24"/>
          <w:lang w:val="en-US" w:eastAsia="zh-CN"/>
        </w:rPr>
        <w:t xml:space="preserve"> </w:t>
      </w:r>
      <w:r>
        <w:rPr>
          <w:rFonts w:hint="eastAsia" w:cs="Arial"/>
          <w:b/>
          <w:sz w:val="24"/>
          <w:lang w:val="en-US" w:eastAsia="zh-CN"/>
        </w:rPr>
        <w:t xml:space="preserve">MPR for </w:t>
      </w:r>
      <w:r>
        <w:rPr>
          <w:rFonts w:hint="default" w:ascii="Arial" w:hAnsi="Arial" w:eastAsia="MS Mincho" w:cs="Arial"/>
          <w:b/>
          <w:sz w:val="24"/>
          <w:lang w:val="en-US" w:eastAsia="zh-CN"/>
        </w:rPr>
        <w:t>FR2</w:t>
      </w:r>
      <w:r>
        <w:rPr>
          <w:rFonts w:hint="eastAsia" w:cs="Arial"/>
          <w:b/>
          <w:sz w:val="24"/>
          <w:lang w:val="en-US" w:eastAsia="zh-CN"/>
        </w:rPr>
        <w:t>-1</w:t>
      </w:r>
      <w:r>
        <w:rPr>
          <w:rFonts w:hint="default" w:ascii="Arial" w:hAnsi="Arial" w:eastAsia="MS Mincho" w:cs="Arial"/>
          <w:b/>
          <w:sz w:val="24"/>
          <w:lang w:val="en-US" w:eastAsia="zh-CN"/>
        </w:rPr>
        <w:t xml:space="preserve"> UL 256</w:t>
      </w:r>
      <w:r>
        <w:rPr>
          <w:rFonts w:hint="eastAsia" w:cs="Arial"/>
          <w:b/>
          <w:sz w:val="24"/>
          <w:lang w:val="en-US" w:eastAsia="zh-CN"/>
        </w:rPr>
        <w:t>QAM</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8</w:t>
      </w:r>
      <w:r>
        <w:rPr>
          <w:rFonts w:hint="eastAsia" w:cs="Arial"/>
          <w:color w:val="auto"/>
          <w:sz w:val="24"/>
          <w:lang w:val="en-US" w:eastAsia="zh-CN"/>
        </w:rPr>
        <w:t>.6</w:t>
      </w:r>
      <w:r>
        <w:rPr>
          <w:rFonts w:hint="default" w:eastAsia="MS Mincho" w:cs="Arial"/>
          <w:color w:val="auto"/>
          <w:sz w:val="24"/>
          <w:lang w:val="en-US" w:eastAsia="zh-CN"/>
        </w:rPr>
        <w:t>.2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RAN4#108bis, a number of agreements on MPR of UL 256QAM for PC1/2/5 in 29GHz and 39GHz have been reached[1]. The only open issue left is the MPR requirements for intra-band CA, including contiguous CA and non-contiguous CA.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discussion on the MPR for intra-band CA with much larger bandwidth than single CC is provided to further determine the corresponding MPR values.</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From the simulation results from different companies in RAN4#108bis after reducing the power of IQ image and carrier leakage, the average value of 256QAM approaches 3dB more than the corresponding MPR values of 64QAM. Therefore, 3dB delta MPR and 4dB delta MPR between 256QAM and 64QAM for PC1/2/5 in 29GHz and 39GHz, respectively, were finally agreed in the last meeting[1].</w:t>
      </w:r>
    </w:p>
    <w:p>
      <w:pPr>
        <w:keepNext w:val="0"/>
        <w:keepLines w:val="0"/>
        <w:pageBreakBefore w:val="0"/>
        <w:widowControl/>
        <w:kinsoku/>
        <w:wordWrap/>
        <w:overflowPunct/>
        <w:topLinePunct w:val="0"/>
        <w:autoSpaceDE/>
        <w:autoSpaceDN/>
        <w:bidi w:val="0"/>
        <w:adjustRightInd/>
        <w:snapToGrid/>
        <w:spacing w:before="120" w:after="157" w:afterLines="50" w:line="240" w:lineRule="auto"/>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The only open issue on FR2-1 UL 256QAM requirements left in RAN4#108bis is as follows: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8480" w:type="dxa"/>
          </w:tcPr>
          <w:p>
            <w:pPr>
              <w:keepNext w:val="0"/>
              <w:keepLines w:val="0"/>
              <w:pageBreakBefore w:val="0"/>
              <w:kinsoku/>
              <w:wordWrap/>
              <w:overflowPunct/>
              <w:topLinePunct w:val="0"/>
              <w:autoSpaceDE/>
              <w:autoSpaceDN/>
              <w:bidi w:val="0"/>
              <w:adjustRightInd/>
              <w:snapToGrid/>
              <w:spacing w:after="0" w:line="240" w:lineRule="auto"/>
              <w:textAlignment w:val="auto"/>
              <w:rPr>
                <w:b/>
                <w:u w:val="single"/>
                <w:lang w:eastAsia="ko-KR"/>
              </w:rPr>
            </w:pPr>
            <w:r>
              <w:rPr>
                <w:b/>
                <w:u w:val="single"/>
                <w:lang w:eastAsia="ko-KR"/>
              </w:rPr>
              <w:t>Issue 1-1-4: MRP requirements for intra-band CA</w:t>
            </w:r>
          </w:p>
          <w:p>
            <w:pPr>
              <w:pStyle w:val="29"/>
              <w:keepNext w:val="0"/>
              <w:keepLines w:val="0"/>
              <w:pageBreakBefore w:val="0"/>
              <w:numPr>
                <w:ilvl w:val="0"/>
                <w:numId w:val="4"/>
              </w:numPr>
              <w:kinsoku/>
              <w:wordWrap/>
              <w:overflowPunct/>
              <w:topLinePunct w:val="0"/>
              <w:autoSpaceDE/>
              <w:autoSpaceDN/>
              <w:bidi w:val="0"/>
              <w:adjustRightInd/>
              <w:snapToGrid/>
              <w:spacing w:after="0" w:line="240" w:lineRule="auto"/>
              <w:ind w:left="118" w:leftChars="59" w:firstLine="480" w:firstLineChars="229"/>
              <w:textAlignment w:val="auto"/>
              <w:rPr>
                <w:rFonts w:eastAsia="宋体"/>
                <w:szCs w:val="24"/>
                <w:lang w:eastAsia="zh-CN"/>
              </w:rPr>
            </w:pPr>
            <w:r>
              <w:rPr>
                <w:rFonts w:eastAsia="宋体"/>
                <w:szCs w:val="24"/>
                <w:lang w:eastAsia="zh-CN"/>
              </w:rPr>
              <w:t>Proposals</w:t>
            </w:r>
          </w:p>
          <w:p>
            <w:pPr>
              <w:pStyle w:val="29"/>
              <w:keepNext w:val="0"/>
              <w:keepLines w:val="0"/>
              <w:pageBreakBefore w:val="0"/>
              <w:numPr>
                <w:ilvl w:val="1"/>
                <w:numId w:val="4"/>
              </w:numPr>
              <w:kinsoku/>
              <w:wordWrap/>
              <w:overflowPunct/>
              <w:topLinePunct w:val="0"/>
              <w:autoSpaceDE/>
              <w:autoSpaceDN/>
              <w:bidi w:val="0"/>
              <w:adjustRightInd/>
              <w:snapToGrid/>
              <w:spacing w:after="0" w:line="240" w:lineRule="auto"/>
              <w:ind w:left="1000" w:leftChars="500" w:firstLine="0" w:firstLineChars="0"/>
              <w:textAlignment w:val="auto"/>
              <w:rPr>
                <w:rFonts w:eastAsia="宋体"/>
                <w:szCs w:val="24"/>
                <w:lang w:eastAsia="zh-CN"/>
              </w:rPr>
            </w:pPr>
            <w:r>
              <w:rPr>
                <w:rFonts w:eastAsia="宋体"/>
                <w:szCs w:val="24"/>
                <w:lang w:eastAsia="zh-CN"/>
              </w:rPr>
              <w:t>Option 1: Intra-band CA MPRs for both, contig. and NC, and forPC1/2/5 in 256QAM operation are increased from their respective 64QAM values by 3 dB.</w:t>
            </w:r>
          </w:p>
          <w:p>
            <w:pPr>
              <w:pStyle w:val="29"/>
              <w:keepNext w:val="0"/>
              <w:keepLines w:val="0"/>
              <w:pageBreakBefore w:val="0"/>
              <w:numPr>
                <w:ilvl w:val="1"/>
                <w:numId w:val="4"/>
              </w:numPr>
              <w:kinsoku/>
              <w:wordWrap/>
              <w:overflowPunct/>
              <w:topLinePunct w:val="0"/>
              <w:autoSpaceDE/>
              <w:autoSpaceDN/>
              <w:bidi w:val="0"/>
              <w:adjustRightInd/>
              <w:snapToGrid/>
              <w:spacing w:after="0" w:line="240" w:lineRule="auto"/>
              <w:ind w:left="1000" w:leftChars="500" w:firstLine="0" w:firstLineChars="0"/>
              <w:textAlignment w:val="auto"/>
              <w:rPr>
                <w:rFonts w:hint="default" w:cs="Times New Roman"/>
                <w:i w:val="0"/>
                <w:iCs w:val="0"/>
                <w:sz w:val="20"/>
                <w:szCs w:val="20"/>
                <w:highlight w:val="none"/>
                <w:vertAlign w:val="baseline"/>
                <w:lang w:val="en-US" w:eastAsia="zh-CN"/>
              </w:rPr>
            </w:pPr>
            <w:r>
              <w:rPr>
                <w:rFonts w:eastAsia="宋体"/>
                <w:szCs w:val="24"/>
                <w:lang w:eastAsia="zh-CN"/>
              </w:rPr>
              <w:t>Option2: Others.</w:t>
            </w:r>
          </w:p>
        </w:tc>
      </w:tr>
    </w:tbl>
    <w:p>
      <w:pPr>
        <w:keepNext w:val="0"/>
        <w:keepLines w:val="0"/>
        <w:pageBreakBefore w:val="0"/>
        <w:widowControl/>
        <w:kinsoku/>
        <w:wordWrap/>
        <w:overflowPunct/>
        <w:topLinePunct w:val="0"/>
        <w:autoSpaceDE/>
        <w:autoSpaceDN/>
        <w:bidi w:val="0"/>
        <w:adjustRightInd/>
        <w:snapToGrid/>
        <w:spacing w:before="313" w:beforeLines="100" w:after="157" w:afterLines="50" w:line="240" w:lineRule="auto"/>
        <w:jc w:val="both"/>
        <w:textAlignment w:val="auto"/>
        <w:outlineLvl w:val="9"/>
        <w:rPr>
          <w:rFonts w:hint="default" w:cs="Times New Roman"/>
          <w:i w:val="0"/>
          <w:iCs w:val="0"/>
          <w:strike w:val="0"/>
          <w:sz w:val="20"/>
          <w:szCs w:val="20"/>
          <w:highlight w:val="none"/>
          <w:lang w:val="en-US" w:eastAsia="zh-CN"/>
        </w:rPr>
      </w:pPr>
      <w:r>
        <w:rPr>
          <w:rFonts w:hint="eastAsia" w:cs="Times New Roman"/>
          <w:i w:val="0"/>
          <w:iCs w:val="0"/>
          <w:sz w:val="20"/>
          <w:szCs w:val="20"/>
          <w:highlight w:val="none"/>
          <w:lang w:val="en-US" w:eastAsia="zh-CN"/>
        </w:rPr>
        <w:t xml:space="preserve">Compared with single carrier operation, more MPR is needed due to larger transmit bandwidth configurations in intra-band CA operation. Particularly, the </w:t>
      </w:r>
      <w:bookmarkStart w:id="0" w:name="OLE_LINK1"/>
      <w:r>
        <w:rPr>
          <w:rFonts w:hint="eastAsia" w:cs="Times New Roman"/>
          <w:i w:val="0"/>
          <w:iCs w:val="0"/>
          <w:sz w:val="20"/>
          <w:szCs w:val="20"/>
          <w:highlight w:val="none"/>
          <w:lang w:val="en-US" w:eastAsia="zh-CN"/>
        </w:rPr>
        <w:t>cumulative aggregated CA bandwidth</w:t>
      </w:r>
      <w:bookmarkEnd w:id="0"/>
      <w:r>
        <w:rPr>
          <w:rFonts w:hint="eastAsia" w:cs="Times New Roman"/>
          <w:i w:val="0"/>
          <w:iCs w:val="0"/>
          <w:sz w:val="20"/>
          <w:szCs w:val="20"/>
          <w:highlight w:val="none"/>
          <w:lang w:val="en-US" w:eastAsia="zh-CN"/>
        </w:rPr>
        <w:t xml:space="preserve"> can be even extended to 2400MHz since Rel-16. It is indicated that uplink intra-band contiguous and non-contiguous CA for any CA bandwidth class share the same maximum output power as that for non-CA configuration specified in TS 38.101-2. </w:t>
      </w:r>
      <w:r>
        <w:rPr>
          <w:rFonts w:hint="eastAsia" w:cs="Times New Roman"/>
          <w:i w:val="0"/>
          <w:iCs w:val="0"/>
          <w:strike w:val="0"/>
          <w:dstrike w:val="0"/>
          <w:sz w:val="20"/>
          <w:szCs w:val="20"/>
          <w:highlight w:val="none"/>
          <w:lang w:val="en-US" w:eastAsia="zh-CN"/>
        </w:rPr>
        <w:t>However, a CA waveform usually has larger PAPR and more out-of-band emission due to inter-modulation caused by the two UL carriers compared to each of its constitute CC and the single CC with equal bandwidth. As the the c</w:t>
      </w:r>
      <w:r>
        <w:t>umulative aggregated channel bandwidth</w:t>
      </w:r>
      <w:r>
        <w:rPr>
          <w:rFonts w:hint="eastAsia" w:cs="Times New Roman"/>
          <w:i w:val="0"/>
          <w:iCs w:val="0"/>
          <w:strike w:val="0"/>
          <w:dstrike w:val="0"/>
          <w:sz w:val="20"/>
          <w:szCs w:val="20"/>
          <w:highlight w:val="none"/>
          <w:lang w:val="en-US" w:eastAsia="zh-CN"/>
        </w:rPr>
        <w:t xml:space="preserve"> increases, the memory efforts of PA increase which means the corresponding MPR needs to be increased.</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For non-CA configuration, there is a consensus to keep the EVM of 256QAM under 3.5% not only by setting sufficient power backoff, but also by other methods such as decreasing the power of IQ image and carrier leakage [2]. Besides, other operations such as digital pre-distortion can be applied to help further reduce the EVM. </w:t>
      </w:r>
      <w:r>
        <w:rPr>
          <w:rFonts w:hint="eastAsia" w:cs="Times New Roman"/>
          <w:b w:val="0"/>
          <w:bCs w:val="0"/>
          <w:i w:val="0"/>
          <w:iCs w:val="0"/>
          <w:sz w:val="20"/>
          <w:szCs w:val="20"/>
          <w:highlight w:val="none"/>
          <w:lang w:val="en-US" w:eastAsia="zh-CN"/>
        </w:rPr>
        <w:t xml:space="preserve">It is not preferred to have significant degradation on MPR for 256QAM considering network performance such as UL coverage issue. </w:t>
      </w:r>
      <w:r>
        <w:rPr>
          <w:rFonts w:hint="eastAsia" w:cs="Times New Roman"/>
          <w:i w:val="0"/>
          <w:iCs w:val="0"/>
          <w:sz w:val="20"/>
          <w:szCs w:val="20"/>
          <w:highlight w:val="none"/>
          <w:lang w:val="en-US" w:eastAsia="zh-CN"/>
        </w:rPr>
        <w:t>This kind of requirement still exists in CA configurations.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b/>
          <w:bCs/>
          <w:i w:val="0"/>
          <w:iCs w:val="0"/>
          <w:sz w:val="20"/>
          <w:szCs w:val="20"/>
          <w:highlight w:val="none"/>
          <w:lang w:val="en-US" w:eastAsia="zh-CN"/>
        </w:rPr>
        <w:t>Observation 1: It is not preferred to have significant degradation on MPR for 256QAM</w:t>
      </w:r>
      <w:r>
        <w:rPr>
          <w:rFonts w:hint="eastAsia" w:cs="Times New Roman"/>
          <w:b w:val="0"/>
          <w:bCs w:val="0"/>
          <w:i w:val="0"/>
          <w:iCs w:val="0"/>
          <w:sz w:val="20"/>
          <w:szCs w:val="20"/>
          <w:highlight w:val="none"/>
          <w:lang w:val="en-US" w:eastAsia="zh-CN"/>
        </w:rPr>
        <w:t xml:space="preserve"> </w:t>
      </w:r>
      <w:r>
        <w:rPr>
          <w:rFonts w:hint="eastAsia" w:cs="Times New Roman"/>
          <w:b/>
          <w:bCs/>
          <w:i w:val="0"/>
          <w:iCs w:val="0"/>
          <w:sz w:val="20"/>
          <w:szCs w:val="20"/>
          <w:highlight w:val="none"/>
          <w:lang w:val="en-US" w:eastAsia="zh-CN"/>
        </w:rPr>
        <w:t>considering network performance such as UL coverage issue. This kind of requirement still exists in CA configurations.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The MPR of intra-band contiguous CA and non-contiguous CA for UL 256QAM can be determined by referring to the same mechanism as that for 64QAM, in which the same delta values between the two adjacent regions divided by cumulative aggregated bandwidth are applied. Besides, considering the MPR values for PC1/2/5 UL 256QAM was already 3dB larger than the values of 64QAM for single CC, we think it is feasible that the MPR requirements of intra-band CA</w:t>
      </w:r>
      <w:bookmarkStart w:id="1" w:name="OLE_LINK2"/>
      <w:r>
        <w:rPr>
          <w:rFonts w:hint="eastAsia" w:cs="Times New Roman"/>
          <w:i w:val="0"/>
          <w:iCs w:val="0"/>
          <w:sz w:val="20"/>
          <w:szCs w:val="20"/>
          <w:highlight w:val="none"/>
          <w:lang w:val="en-US" w:eastAsia="zh-CN"/>
        </w:rPr>
        <w:t xml:space="preserve"> for PC1/2/5 UL 256QAM</w:t>
      </w:r>
      <w:bookmarkEnd w:id="1"/>
      <w:r>
        <w:rPr>
          <w:rFonts w:hint="eastAsia" w:cs="Times New Roman"/>
          <w:i w:val="0"/>
          <w:iCs w:val="0"/>
          <w:sz w:val="20"/>
          <w:szCs w:val="20"/>
          <w:highlight w:val="none"/>
          <w:lang w:val="en-US" w:eastAsia="zh-CN"/>
        </w:rPr>
        <w:t xml:space="preserve"> in FR2-1 are 3dB more than that of 64QAM considering total network performance. The proposed MPR values of intra-band contiguous CA and non-contiguous CA for PC1/2/5 are shown in Table 2-1 and Table 2-2, respectively.</w:t>
      </w:r>
    </w:p>
    <w:p>
      <w:pPr>
        <w:keepNext w:val="0"/>
        <w:keepLines w:val="0"/>
        <w:pageBreakBefore w:val="0"/>
        <w:widowControl/>
        <w:kinsoku/>
        <w:wordWrap/>
        <w:overflowPunct/>
        <w:topLinePunct w:val="0"/>
        <w:autoSpaceDE/>
        <w:autoSpaceDN/>
        <w:bidi w:val="0"/>
        <w:adjustRightInd/>
        <w:snapToGrid/>
        <w:spacing w:before="120" w:after="157" w:afterLines="50" w:line="240" w:lineRule="auto"/>
        <w:textAlignment w:val="auto"/>
        <w:outlineLvl w:val="9"/>
        <w:rPr>
          <w:rFonts w:hint="default" w:cs="Times New Roman"/>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1: The MPR requirements of intra-band contiguous CA and non-contiguous CA for UL 256QAM </w:t>
      </w:r>
      <w:r>
        <w:rPr>
          <w:rFonts w:hint="eastAsia" w:eastAsia="宋体"/>
          <w:b/>
          <w:bCs/>
          <w:lang w:val="en-US" w:eastAsia="zh-CN"/>
        </w:rPr>
        <w:t>are</w:t>
      </w:r>
      <w:r>
        <w:rPr>
          <w:b/>
          <w:bCs/>
          <w:lang w:eastAsia="ko-KR"/>
        </w:rPr>
        <w:t xml:space="preserve"> 3 dB more than that of 64QAM</w:t>
      </w:r>
      <w:r>
        <w:rPr>
          <w:rFonts w:hint="eastAsia" w:eastAsia="宋体"/>
          <w:b/>
          <w:bCs/>
          <w:lang w:val="en-US" w:eastAsia="zh-CN"/>
        </w:rPr>
        <w:t>, as shown in Table 2-1 and Table 2-2, respectively.</w:t>
      </w:r>
    </w:p>
    <w:p>
      <w:pPr>
        <w:pStyle w:val="37"/>
        <w:pageBreakBefore w:val="0"/>
        <w:kinsoku/>
        <w:wordWrap/>
        <w:overflowPunct/>
        <w:topLinePunct w:val="0"/>
        <w:autoSpaceDE/>
        <w:autoSpaceDN/>
        <w:bidi w:val="0"/>
        <w:spacing w:after="157" w:afterLines="50" w:line="240" w:lineRule="auto"/>
      </w:pPr>
      <w:r>
        <w:t>Table 2-1: MPR</w:t>
      </w:r>
      <w:r>
        <w:rPr>
          <w:vertAlign w:val="subscript"/>
        </w:rPr>
        <w:t>WT_C_CA</w:t>
      </w:r>
      <w:r>
        <w:t xml:space="preserve"> for UE power class 1</w:t>
      </w:r>
      <w:r>
        <w:rPr>
          <w:rFonts w:hint="eastAsia"/>
          <w:lang w:val="en-US" w:eastAsia="zh-CN"/>
        </w:rPr>
        <w:t>/2/5</w:t>
      </w:r>
      <w:r>
        <w:t xml:space="preserve"> in FR2-1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1424"/>
        <w:gridCol w:w="1496"/>
        <w:gridCol w:w="1616"/>
        <w:gridCol w:w="1680"/>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single" w:color="auto" w:sz="4" w:space="0"/>
              <w:left w:val="single" w:color="auto" w:sz="4" w:space="0"/>
              <w:bottom w:val="nil"/>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Waveform Type</w:t>
            </w:r>
          </w:p>
        </w:tc>
        <w:tc>
          <w:tcPr>
            <w:tcW w:w="6449" w:type="dxa"/>
            <w:gridSpan w:val="4"/>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Cumulative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nil"/>
              <w:left w:val="single" w:color="auto" w:sz="4" w:space="0"/>
              <w:bottom w:val="single" w:color="auto" w:sz="4" w:space="0"/>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p>
        </w:tc>
        <w:tc>
          <w:tcPr>
            <w:tcW w:w="149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&lt; 400 MHz</w:t>
            </w:r>
          </w:p>
        </w:tc>
        <w:tc>
          <w:tcPr>
            <w:tcW w:w="161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400 MHz and &lt; 800 MHz</w:t>
            </w:r>
          </w:p>
        </w:tc>
        <w:tc>
          <w:tcPr>
            <w:tcW w:w="1680"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 xml:space="preserve">800 MHz and </w:t>
            </w:r>
            <w:r>
              <w:rPr>
                <w:rFonts w:cs="Arial"/>
              </w:rPr>
              <w:t xml:space="preserve">≤ </w:t>
            </w:r>
            <w:r>
              <w:t>1400 MHz</w:t>
            </w:r>
          </w:p>
        </w:tc>
        <w:tc>
          <w:tcPr>
            <w:tcW w:w="1657"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DFT-s-OFDM</w:t>
            </w: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10.7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11.2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olor w:val="00B0F0"/>
                <w:lang w:val="en-US" w:eastAsia="zh-CN"/>
              </w:rPr>
            </w:pPr>
            <w:r>
              <w:rPr>
                <w:rFonts w:hint="eastAsia"/>
                <w:color w:val="00B0F0"/>
                <w:lang w:val="en-US" w:eastAsia="zh-CN"/>
              </w:rPr>
              <w:t>256QAM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US" w:eastAsia="zh-CN" w:bidi="ar-SA"/>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CP-OFDM</w:t>
            </w:r>
          </w:p>
        </w:tc>
        <w:tc>
          <w:tcPr>
            <w:tcW w:w="1424"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10.7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11.2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US" w:eastAsia="zh-CN" w:bidi="ar-SA"/>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hint="eastAsia"/>
                <w:color w:val="00B0F0"/>
                <w:lang w:val="en-US" w:eastAsia="zh-CN"/>
              </w:rPr>
              <w:t>256</w:t>
            </w:r>
            <w:r>
              <w:rPr>
                <w:color w:val="00B0F0"/>
              </w:rPr>
              <w:t xml:space="preserve">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bl>
    <w:p>
      <w:pPr>
        <w:pStyle w:val="37"/>
        <w:pageBreakBefore w:val="0"/>
        <w:kinsoku/>
        <w:wordWrap/>
        <w:overflowPunct/>
        <w:topLinePunct w:val="0"/>
        <w:autoSpaceDE/>
        <w:autoSpaceDN/>
        <w:bidi w:val="0"/>
        <w:spacing w:after="157" w:afterLines="50" w:line="240" w:lineRule="auto"/>
      </w:pPr>
      <w:r>
        <w:t>Table 2-</w:t>
      </w:r>
      <w:r>
        <w:rPr>
          <w:rFonts w:hint="eastAsia"/>
          <w:lang w:val="en-US" w:eastAsia="zh-CN"/>
        </w:rPr>
        <w:t>2</w:t>
      </w:r>
      <w:r>
        <w:t>: MPR</w:t>
      </w:r>
      <w:r>
        <w:rPr>
          <w:rFonts w:hint="eastAsia"/>
          <w:vertAlign w:val="subscript"/>
          <w:lang w:val="en-US" w:eastAsia="zh-CN"/>
        </w:rPr>
        <w:t>NC</w:t>
      </w:r>
      <w:r>
        <w:rPr>
          <w:vertAlign w:val="subscript"/>
        </w:rPr>
        <w:t>_CA</w:t>
      </w:r>
      <w:r>
        <w:rPr>
          <w:rFonts w:hint="eastAsia"/>
          <w:vertAlign w:val="subscript"/>
          <w:lang w:val="en-US" w:eastAsia="zh-CN"/>
        </w:rPr>
        <w:t xml:space="preserve"> </w:t>
      </w:r>
      <w:r>
        <w:t>for UE power class 1</w:t>
      </w:r>
      <w:r>
        <w:rPr>
          <w:rFonts w:hint="eastAsia"/>
          <w:lang w:val="en-US" w:eastAsia="zh-CN"/>
        </w:rPr>
        <w:t>/2/5</w:t>
      </w:r>
      <w:r>
        <w:t xml:space="preserve"> in FR2-1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1424"/>
        <w:gridCol w:w="1496"/>
        <w:gridCol w:w="1616"/>
        <w:gridCol w:w="1680"/>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single" w:color="auto" w:sz="4" w:space="0"/>
              <w:left w:val="single" w:color="auto" w:sz="4" w:space="0"/>
              <w:bottom w:val="nil"/>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Waveform Type</w:t>
            </w:r>
          </w:p>
        </w:tc>
        <w:tc>
          <w:tcPr>
            <w:tcW w:w="6449" w:type="dxa"/>
            <w:gridSpan w:val="4"/>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Cumulative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nil"/>
              <w:left w:val="single" w:color="auto" w:sz="4" w:space="0"/>
              <w:bottom w:val="single" w:color="auto" w:sz="4" w:space="0"/>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p>
        </w:tc>
        <w:tc>
          <w:tcPr>
            <w:tcW w:w="149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&lt; 400 MHz</w:t>
            </w:r>
          </w:p>
        </w:tc>
        <w:tc>
          <w:tcPr>
            <w:tcW w:w="161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400 MHz and &lt; 800 MHz</w:t>
            </w:r>
          </w:p>
        </w:tc>
        <w:tc>
          <w:tcPr>
            <w:tcW w:w="1680"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 xml:space="preserve">800 MHz and </w:t>
            </w:r>
            <w:r>
              <w:rPr>
                <w:rFonts w:cs="Arial"/>
              </w:rPr>
              <w:t xml:space="preserve">≤ </w:t>
            </w:r>
            <w:r>
              <w:t>1400 MHz</w:t>
            </w:r>
          </w:p>
        </w:tc>
        <w:tc>
          <w:tcPr>
            <w:tcW w:w="1657"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DFT-s-OFDM</w:t>
            </w: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10.7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11.2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olor w:val="00B0F0"/>
                <w:lang w:val="en-US" w:eastAsia="zh-CN"/>
              </w:rPr>
            </w:pPr>
            <w:r>
              <w:rPr>
                <w:rFonts w:hint="eastAsia"/>
                <w:color w:val="00B0F0"/>
                <w:lang w:val="en-US" w:eastAsia="zh-CN"/>
              </w:rPr>
              <w:t>256QAM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US" w:eastAsia="zh-CN" w:bidi="ar-SA"/>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CP-OFDM</w:t>
            </w:r>
          </w:p>
        </w:tc>
        <w:tc>
          <w:tcPr>
            <w:tcW w:w="1424"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10.7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11.2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US" w:eastAsia="zh-CN" w:bidi="ar-SA"/>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hint="eastAsia"/>
                <w:color w:val="00B0F0"/>
                <w:lang w:val="en-US" w:eastAsia="zh-CN"/>
              </w:rPr>
              <w:t>256</w:t>
            </w:r>
            <w:r>
              <w:rPr>
                <w:color w:val="00B0F0"/>
              </w:rPr>
              <w:t xml:space="preserve">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textAlignment w:val="auto"/>
        <w:outlineLvl w:val="9"/>
        <w:rPr>
          <w:rFonts w:hint="eastAsia" w:cs="Times New Roman"/>
          <w:i w:val="0"/>
          <w:iCs w:val="0"/>
          <w:sz w:val="20"/>
          <w:szCs w:val="20"/>
          <w:highlight w:val="none"/>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suppressAutoHyphens/>
        <w:kinsoku/>
        <w:wordWrap/>
        <w:overflowPunct/>
        <w:topLinePunct w:val="0"/>
        <w:autoSpaceDE/>
        <w:autoSpaceDN/>
        <w:bidi w:val="0"/>
        <w:adjustRightInd/>
        <w:snapToGrid w:val="0"/>
        <w:spacing w:before="120" w:after="157" w:afterLines="50" w:line="240" w:lineRule="auto"/>
        <w:textAlignment w:val="auto"/>
        <w:rPr>
          <w:rFonts w:eastAsia="宋体"/>
          <w:bCs/>
          <w:szCs w:val="20"/>
          <w:lang w:eastAsia="zh-CN"/>
        </w:rPr>
      </w:pPr>
      <w:r>
        <w:rPr>
          <w:rFonts w:eastAsia="宋体"/>
          <w:bCs/>
          <w:szCs w:val="20"/>
          <w:lang w:eastAsia="zh-CN"/>
        </w:rPr>
        <w:t>Based on the</w:t>
      </w:r>
      <w:r>
        <w:rPr>
          <w:rFonts w:hint="eastAsia" w:eastAsia="宋体"/>
          <w:bCs/>
          <w:szCs w:val="20"/>
          <w:lang w:val="en-US" w:eastAsia="zh-CN"/>
        </w:rPr>
        <w:t xml:space="preserve"> discussion and analysis</w:t>
      </w:r>
      <w:r>
        <w:rPr>
          <w:rFonts w:eastAsia="宋体"/>
          <w:bCs/>
          <w:szCs w:val="20"/>
          <w:lang w:eastAsia="zh-CN"/>
        </w:rPr>
        <w:t>, the following</w:t>
      </w:r>
      <w:r>
        <w:rPr>
          <w:rFonts w:hint="eastAsia" w:eastAsia="宋体"/>
          <w:bCs/>
          <w:szCs w:val="20"/>
          <w:lang w:val="en-US" w:eastAsia="zh-CN"/>
        </w:rPr>
        <w:t xml:space="preserve"> observation and proposal are </w:t>
      </w:r>
      <w:r>
        <w:rPr>
          <w:rFonts w:eastAsia="宋体"/>
          <w:bCs/>
          <w:szCs w:val="20"/>
          <w:lang w:eastAsia="zh-CN"/>
        </w:rPr>
        <w:t>given: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eastAsia="宋体"/>
          <w:bCs/>
          <w:szCs w:val="20"/>
          <w:lang w:val="en-US" w:eastAsia="zh-CN"/>
        </w:rPr>
      </w:pPr>
      <w:r>
        <w:rPr>
          <w:rFonts w:hint="eastAsia" w:cs="Times New Roman"/>
          <w:b/>
          <w:bCs/>
          <w:i w:val="0"/>
          <w:iCs w:val="0"/>
          <w:sz w:val="20"/>
          <w:szCs w:val="20"/>
          <w:highlight w:val="none"/>
          <w:lang w:val="en-US" w:eastAsia="zh-CN"/>
        </w:rPr>
        <w:t>Observation 1: It is not preferred to have significant degradation on MPR for 256QAM</w:t>
      </w:r>
      <w:r>
        <w:rPr>
          <w:rFonts w:hint="eastAsia" w:cs="Times New Roman"/>
          <w:b w:val="0"/>
          <w:bCs w:val="0"/>
          <w:i w:val="0"/>
          <w:iCs w:val="0"/>
          <w:sz w:val="20"/>
          <w:szCs w:val="20"/>
          <w:highlight w:val="none"/>
          <w:lang w:val="en-US" w:eastAsia="zh-CN"/>
        </w:rPr>
        <w:t xml:space="preserve"> </w:t>
      </w:r>
      <w:r>
        <w:rPr>
          <w:rFonts w:hint="eastAsia" w:cs="Times New Roman"/>
          <w:b/>
          <w:bCs/>
          <w:i w:val="0"/>
          <w:iCs w:val="0"/>
          <w:sz w:val="20"/>
          <w:szCs w:val="20"/>
          <w:highlight w:val="none"/>
          <w:lang w:val="en-US" w:eastAsia="zh-CN"/>
        </w:rPr>
        <w:t>considering network performance such as UL coverage issue. This kind of requirement still exists in CA configurations.</w:t>
      </w:r>
    </w:p>
    <w:p>
      <w:pPr>
        <w:keepNext w:val="0"/>
        <w:keepLines w:val="0"/>
        <w:pageBreakBefore w:val="0"/>
        <w:widowControl/>
        <w:kinsoku/>
        <w:wordWrap/>
        <w:overflowPunct/>
        <w:topLinePunct w:val="0"/>
        <w:autoSpaceDE/>
        <w:autoSpaceDN/>
        <w:bidi w:val="0"/>
        <w:adjustRightInd/>
        <w:snapToGrid/>
        <w:spacing w:before="120" w:after="157" w:afterLines="50" w:line="240" w:lineRule="auto"/>
        <w:textAlignment w:val="auto"/>
        <w:outlineLvl w:val="9"/>
        <w:rPr>
          <w:rFonts w:hint="eastAsia" w:eastAsia="宋体"/>
          <w:b/>
          <w:bCs/>
          <w:lang w:val="en-US" w:eastAsia="zh-CN"/>
        </w:rPr>
      </w:pPr>
      <w:r>
        <w:rPr>
          <w:rFonts w:hint="eastAsia" w:cs="Times New Roman"/>
          <w:b/>
          <w:bCs/>
          <w:i w:val="0"/>
          <w:iCs w:val="0"/>
          <w:sz w:val="20"/>
          <w:szCs w:val="20"/>
          <w:highlight w:val="none"/>
          <w:lang w:val="en-US" w:eastAsia="zh-CN"/>
        </w:rPr>
        <w:t xml:space="preserve">Proposal 1: The MPR requirements of intra-band contiguous CA and non-contiguous CA for UL 256QAM </w:t>
      </w:r>
      <w:r>
        <w:rPr>
          <w:rFonts w:hint="eastAsia" w:eastAsia="宋体"/>
          <w:b/>
          <w:bCs/>
          <w:lang w:val="en-US" w:eastAsia="zh-CN"/>
        </w:rPr>
        <w:t xml:space="preserve">are </w:t>
      </w:r>
      <w:r>
        <w:rPr>
          <w:b/>
          <w:bCs/>
          <w:lang w:eastAsia="ko-KR"/>
        </w:rPr>
        <w:t>3 dB more than that of 64QAM</w:t>
      </w:r>
      <w:r>
        <w:rPr>
          <w:rFonts w:hint="eastAsia" w:eastAsia="宋体"/>
          <w:b/>
          <w:bCs/>
          <w:lang w:val="en-US" w:eastAsia="zh-CN"/>
        </w:rPr>
        <w:t>, as shown in Table 2-1 and Table 2-2, respectively.</w:t>
      </w:r>
    </w:p>
    <w:p>
      <w:pPr>
        <w:pStyle w:val="37"/>
        <w:pageBreakBefore w:val="0"/>
        <w:kinsoku/>
        <w:wordWrap/>
        <w:overflowPunct/>
        <w:topLinePunct w:val="0"/>
        <w:autoSpaceDE/>
        <w:autoSpaceDN/>
        <w:bidi w:val="0"/>
        <w:spacing w:after="157" w:afterLines="50" w:line="240" w:lineRule="auto"/>
      </w:pPr>
      <w:r>
        <w:t>Table 2-1: MPR</w:t>
      </w:r>
      <w:r>
        <w:rPr>
          <w:vertAlign w:val="subscript"/>
        </w:rPr>
        <w:t>WT_C_CA</w:t>
      </w:r>
      <w:r>
        <w:t xml:space="preserve"> for UE power class 1</w:t>
      </w:r>
      <w:r>
        <w:rPr>
          <w:rFonts w:hint="eastAsia"/>
          <w:lang w:val="en-US" w:eastAsia="zh-CN"/>
        </w:rPr>
        <w:t>/2/5</w:t>
      </w:r>
      <w:r>
        <w:t xml:space="preserve"> in FR2-1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1424"/>
        <w:gridCol w:w="1496"/>
        <w:gridCol w:w="1616"/>
        <w:gridCol w:w="1680"/>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single" w:color="auto" w:sz="4" w:space="0"/>
              <w:left w:val="single" w:color="auto" w:sz="4" w:space="0"/>
              <w:bottom w:val="nil"/>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Waveform Type</w:t>
            </w:r>
          </w:p>
        </w:tc>
        <w:tc>
          <w:tcPr>
            <w:tcW w:w="6449" w:type="dxa"/>
            <w:gridSpan w:val="4"/>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Cumulative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nil"/>
              <w:left w:val="single" w:color="auto" w:sz="4" w:space="0"/>
              <w:bottom w:val="single" w:color="auto" w:sz="4" w:space="0"/>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p>
        </w:tc>
        <w:tc>
          <w:tcPr>
            <w:tcW w:w="149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&lt; 400 MHz</w:t>
            </w:r>
          </w:p>
        </w:tc>
        <w:tc>
          <w:tcPr>
            <w:tcW w:w="161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400 MHz and &lt; 800 MHz</w:t>
            </w:r>
          </w:p>
        </w:tc>
        <w:tc>
          <w:tcPr>
            <w:tcW w:w="1680"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 xml:space="preserve">800 MHz and </w:t>
            </w:r>
            <w:r>
              <w:rPr>
                <w:rFonts w:cs="Arial"/>
              </w:rPr>
              <w:t xml:space="preserve">≤ </w:t>
            </w:r>
            <w:r>
              <w:t>1400 MHz</w:t>
            </w:r>
          </w:p>
        </w:tc>
        <w:tc>
          <w:tcPr>
            <w:tcW w:w="1657"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DFT-s-OFDM</w:t>
            </w: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10.7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11.2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olor w:val="00B0F0"/>
                <w:lang w:val="en-US" w:eastAsia="zh-CN"/>
              </w:rPr>
            </w:pPr>
            <w:r>
              <w:rPr>
                <w:rFonts w:hint="eastAsia"/>
                <w:color w:val="00B0F0"/>
                <w:lang w:val="en-US" w:eastAsia="zh-CN"/>
              </w:rPr>
              <w:t>256QAM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US" w:eastAsia="zh-CN" w:bidi="ar-SA"/>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CP-OFDM</w:t>
            </w:r>
          </w:p>
        </w:tc>
        <w:tc>
          <w:tcPr>
            <w:tcW w:w="1424"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10.7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11.2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US" w:eastAsia="zh-CN" w:bidi="ar-SA"/>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hint="eastAsia"/>
                <w:color w:val="00B0F0"/>
                <w:lang w:val="en-US" w:eastAsia="zh-CN"/>
              </w:rPr>
              <w:t>256</w:t>
            </w:r>
            <w:r>
              <w:rPr>
                <w:color w:val="00B0F0"/>
              </w:rPr>
              <w:t xml:space="preserve">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bl>
    <w:p>
      <w:pPr>
        <w:pStyle w:val="37"/>
        <w:pageBreakBefore w:val="0"/>
        <w:kinsoku/>
        <w:wordWrap/>
        <w:overflowPunct/>
        <w:topLinePunct w:val="0"/>
        <w:autoSpaceDE/>
        <w:autoSpaceDN/>
        <w:bidi w:val="0"/>
        <w:spacing w:after="157" w:afterLines="50" w:line="240" w:lineRule="auto"/>
      </w:pPr>
      <w:r>
        <w:t>Table 2-</w:t>
      </w:r>
      <w:r>
        <w:rPr>
          <w:rFonts w:hint="eastAsia"/>
          <w:lang w:val="en-US" w:eastAsia="zh-CN"/>
        </w:rPr>
        <w:t>2</w:t>
      </w:r>
      <w:r>
        <w:t>: MPR</w:t>
      </w:r>
      <w:r>
        <w:rPr>
          <w:rFonts w:hint="eastAsia"/>
          <w:vertAlign w:val="subscript"/>
          <w:lang w:val="en-US" w:eastAsia="zh-CN"/>
        </w:rPr>
        <w:t>NC</w:t>
      </w:r>
      <w:r>
        <w:rPr>
          <w:vertAlign w:val="subscript"/>
        </w:rPr>
        <w:t>_CA</w:t>
      </w:r>
      <w:r>
        <w:rPr>
          <w:rFonts w:hint="eastAsia"/>
          <w:vertAlign w:val="subscript"/>
          <w:lang w:val="en-US" w:eastAsia="zh-CN"/>
        </w:rPr>
        <w:t xml:space="preserve"> </w:t>
      </w:r>
      <w:r>
        <w:t>for UE power class 1</w:t>
      </w:r>
      <w:r>
        <w:rPr>
          <w:rFonts w:hint="eastAsia"/>
          <w:lang w:val="en-US" w:eastAsia="zh-CN"/>
        </w:rPr>
        <w:t>/2/5</w:t>
      </w:r>
      <w:r>
        <w:t xml:space="preserve"> in FR2-1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1424"/>
        <w:gridCol w:w="1496"/>
        <w:gridCol w:w="1616"/>
        <w:gridCol w:w="1680"/>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single" w:color="auto" w:sz="4" w:space="0"/>
              <w:left w:val="single" w:color="auto" w:sz="4" w:space="0"/>
              <w:bottom w:val="nil"/>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Waveform Type</w:t>
            </w:r>
          </w:p>
        </w:tc>
        <w:tc>
          <w:tcPr>
            <w:tcW w:w="6449" w:type="dxa"/>
            <w:gridSpan w:val="4"/>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Cumulative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5" w:type="dxa"/>
            <w:gridSpan w:val="2"/>
            <w:tcBorders>
              <w:top w:val="nil"/>
              <w:left w:val="single" w:color="auto" w:sz="4" w:space="0"/>
              <w:bottom w:val="single" w:color="auto" w:sz="4" w:space="0"/>
              <w:right w:val="single" w:color="auto" w:sz="4" w:space="0"/>
            </w:tcBorders>
            <w:shd w:val="clear" w:color="auto" w:fill="auto"/>
          </w:tcPr>
          <w:p>
            <w:pPr>
              <w:pStyle w:val="34"/>
              <w:keepNext/>
              <w:keepLines/>
              <w:pageBreakBefore w:val="0"/>
              <w:widowControl/>
              <w:kinsoku/>
              <w:wordWrap/>
              <w:overflowPunct/>
              <w:topLinePunct w:val="0"/>
              <w:autoSpaceDE/>
              <w:autoSpaceDN/>
              <w:bidi w:val="0"/>
              <w:adjustRightInd/>
              <w:snapToGrid/>
              <w:spacing w:after="0" w:line="240" w:lineRule="auto"/>
              <w:textAlignment w:val="auto"/>
            </w:pPr>
          </w:p>
        </w:tc>
        <w:tc>
          <w:tcPr>
            <w:tcW w:w="149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t>&lt; 400 MHz</w:t>
            </w:r>
          </w:p>
        </w:tc>
        <w:tc>
          <w:tcPr>
            <w:tcW w:w="1616"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400 MHz and &lt; 800 MHz</w:t>
            </w:r>
          </w:p>
        </w:tc>
        <w:tc>
          <w:tcPr>
            <w:tcW w:w="1680"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pPr>
            <w:r>
              <w:rPr>
                <w:rFonts w:cs="Arial"/>
              </w:rPr>
              <w:t xml:space="preserve">≥ </w:t>
            </w:r>
            <w:r>
              <w:t xml:space="preserve">800 MHz and </w:t>
            </w:r>
            <w:r>
              <w:rPr>
                <w:rFonts w:cs="Arial"/>
              </w:rPr>
              <w:t xml:space="preserve">≤ </w:t>
            </w:r>
            <w:r>
              <w:t>1400 MHz</w:t>
            </w:r>
          </w:p>
        </w:tc>
        <w:tc>
          <w:tcPr>
            <w:tcW w:w="1657"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0" w:line="240" w:lineRule="auto"/>
              <w:textAlignment w:val="auto"/>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DFT-s-OFDM</w:t>
            </w: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10.7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color w:val="auto"/>
              </w:rPr>
              <w:t>11.2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auto"/>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color w:val="00B0F0"/>
                <w:lang w:val="en-US" w:eastAsia="zh-CN"/>
              </w:rPr>
            </w:pPr>
            <w:r>
              <w:rPr>
                <w:rFonts w:hint="eastAsia"/>
                <w:color w:val="00B0F0"/>
                <w:lang w:val="en-US" w:eastAsia="zh-CN"/>
              </w:rPr>
              <w:t>256QAM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GB" w:eastAsia="zh-CN" w:bidi="ar-SA"/>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00B0F0"/>
                <w:sz w:val="18"/>
                <w:szCs w:val="20"/>
                <w:lang w:val="en-US" w:eastAsia="zh-CN" w:bidi="ar-SA"/>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nil"/>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eastAsia="宋体"/>
                <w:lang w:val="en-US" w:eastAsia="zh-CN"/>
              </w:rPr>
            </w:pPr>
            <w:r>
              <w:rPr>
                <w:rFonts w:hint="eastAsia"/>
                <w:lang w:val="en-US" w:eastAsia="zh-CN"/>
              </w:rPr>
              <w:t>CP-OFDM</w:t>
            </w:r>
          </w:p>
        </w:tc>
        <w:tc>
          <w:tcPr>
            <w:tcW w:w="1424"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64 QAM</w:t>
            </w:r>
          </w:p>
        </w:tc>
        <w:tc>
          <w:tcPr>
            <w:tcW w:w="149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 xml:space="preserve">≤ </w:t>
            </w:r>
            <w:r>
              <w:rPr>
                <w:color w:val="auto"/>
                <w:lang w:val="en-CA"/>
              </w:rPr>
              <w:t>9.0</w:t>
            </w:r>
          </w:p>
        </w:tc>
        <w:tc>
          <w:tcPr>
            <w:tcW w:w="1616"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10.7</w:t>
            </w:r>
          </w:p>
        </w:tc>
        <w:tc>
          <w:tcPr>
            <w:tcW w:w="1680"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GB" w:eastAsia="zh-CN" w:bidi="ar-SA"/>
              </w:rPr>
            </w:pPr>
            <w:r>
              <w:rPr>
                <w:color w:val="auto"/>
              </w:rPr>
              <w:t>11.2</w:t>
            </w:r>
          </w:p>
        </w:tc>
        <w:tc>
          <w:tcPr>
            <w:tcW w:w="1657"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ascii="Arial" w:hAnsi="Arial" w:eastAsia="宋体" w:cs="Times New Roman"/>
                <w:color w:val="auto"/>
                <w:sz w:val="18"/>
                <w:szCs w:val="20"/>
                <w:lang w:val="en-US" w:eastAsia="zh-CN" w:bidi="ar-SA"/>
              </w:rPr>
            </w:pPr>
            <w:r>
              <w:rPr>
                <w:rFonts w:cs="Arial"/>
                <w:color w:val="auto"/>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1" w:type="dxa"/>
            <w:tcBorders>
              <w:top w:val="nil"/>
              <w:left w:val="single" w:color="auto" w:sz="4" w:space="0"/>
              <w:bottom w:val="single" w:color="auto" w:sz="4" w:space="0"/>
              <w:right w:val="single" w:color="auto" w:sz="4" w:space="0"/>
            </w:tcBorders>
            <w:shd w:val="clear" w:color="auto" w:fill="auto"/>
          </w:tcPr>
          <w:p>
            <w:pPr>
              <w:pStyle w:val="35"/>
              <w:keepNext/>
              <w:keepLines/>
              <w:pageBreakBefore w:val="0"/>
              <w:widowControl/>
              <w:kinsoku/>
              <w:wordWrap/>
              <w:overflowPunct/>
              <w:topLinePunct w:val="0"/>
              <w:autoSpaceDE/>
              <w:autoSpaceDN/>
              <w:bidi w:val="0"/>
              <w:adjustRightInd/>
              <w:snapToGrid/>
              <w:spacing w:after="0" w:line="240" w:lineRule="auto"/>
              <w:textAlignment w:val="auto"/>
            </w:pPr>
          </w:p>
        </w:tc>
        <w:tc>
          <w:tcPr>
            <w:tcW w:w="1424"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hint="eastAsia"/>
                <w:color w:val="00B0F0"/>
                <w:lang w:val="en-US" w:eastAsia="zh-CN"/>
              </w:rPr>
              <w:t>256</w:t>
            </w:r>
            <w:r>
              <w:rPr>
                <w:color w:val="00B0F0"/>
              </w:rPr>
              <w:t xml:space="preserve"> QAM</w:t>
            </w:r>
          </w:p>
        </w:tc>
        <w:tc>
          <w:tcPr>
            <w:tcW w:w="149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 xml:space="preserve">≤ </w:t>
            </w:r>
            <w:r>
              <w:rPr>
                <w:rFonts w:hint="eastAsia"/>
                <w:color w:val="00B0F0"/>
                <w:lang w:val="en-US" w:eastAsia="zh-CN"/>
              </w:rPr>
              <w:t>12</w:t>
            </w:r>
            <w:r>
              <w:rPr>
                <w:color w:val="00B0F0"/>
                <w:lang w:val="en-CA"/>
              </w:rPr>
              <w:t>.0</w:t>
            </w:r>
          </w:p>
        </w:tc>
        <w:tc>
          <w:tcPr>
            <w:tcW w:w="1616"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3</w:t>
            </w:r>
            <w:r>
              <w:rPr>
                <w:color w:val="00B0F0"/>
              </w:rPr>
              <w:t>.7</w:t>
            </w:r>
          </w:p>
        </w:tc>
        <w:tc>
          <w:tcPr>
            <w:tcW w:w="1680"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color w:val="00B0F0"/>
              </w:rPr>
              <w:t>1</w:t>
            </w:r>
            <w:r>
              <w:rPr>
                <w:rFonts w:hint="eastAsia"/>
                <w:color w:val="00B0F0"/>
                <w:lang w:val="en-US" w:eastAsia="zh-CN"/>
              </w:rPr>
              <w:t>4</w:t>
            </w:r>
            <w:r>
              <w:rPr>
                <w:color w:val="00B0F0"/>
              </w:rPr>
              <w:t>.2</w:t>
            </w:r>
          </w:p>
        </w:tc>
        <w:tc>
          <w:tcPr>
            <w:tcW w:w="1657"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spacing w:after="0" w:line="240" w:lineRule="auto"/>
              <w:textAlignment w:val="auto"/>
              <w:rPr>
                <w:color w:val="00B0F0"/>
              </w:rPr>
            </w:pPr>
            <w:r>
              <w:rPr>
                <w:rFonts w:cs="Arial"/>
                <w:color w:val="00B0F0"/>
                <w:szCs w:val="18"/>
                <w:lang w:val="en-US"/>
              </w:rPr>
              <w:t>≤ 1</w:t>
            </w:r>
            <w:r>
              <w:rPr>
                <w:rFonts w:hint="eastAsia" w:cs="Arial"/>
                <w:color w:val="00B0F0"/>
                <w:szCs w:val="18"/>
                <w:lang w:val="en-US" w:eastAsia="zh-CN"/>
              </w:rPr>
              <w:t>4</w:t>
            </w:r>
            <w:r>
              <w:rPr>
                <w:rFonts w:cs="Arial"/>
                <w:color w:val="00B0F0"/>
                <w:szCs w:val="18"/>
                <w:lang w:val="en-US"/>
              </w:rPr>
              <w:t>.7</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textAlignment w:val="auto"/>
        <w:outlineLvl w:val="9"/>
        <w:rPr>
          <w:rFonts w:hint="eastAsia" w:eastAsia="宋体"/>
          <w:b/>
          <w:bCs/>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after="157" w:afterLines="50" w:line="240" w:lineRule="auto"/>
        <w:ind w:left="0" w:leftChars="0" w:firstLine="0" w:firstLineChars="0"/>
        <w:textAlignment w:val="auto"/>
      </w:pPr>
      <w:r>
        <w:rPr>
          <w:rFonts w:hint="eastAsia"/>
          <w:lang w:val="en-US" w:eastAsia="zh-CN"/>
        </w:rPr>
        <w:t xml:space="preserve">[1] </w:t>
      </w:r>
      <w:r>
        <w:rPr>
          <w:rFonts w:hint="eastAsia"/>
          <w:lang w:val="en-US"/>
        </w:rPr>
        <w:t>R4-23</w:t>
      </w:r>
      <w:r>
        <w:rPr>
          <w:rFonts w:hint="eastAsia"/>
          <w:lang w:val="en-US" w:eastAsia="zh-CN"/>
        </w:rPr>
        <w:t>17596, WF on FR2-1 UL 256QAM requirements, Xiamen, CN, RAN4#108bis</w:t>
      </w:r>
    </w:p>
    <w:p>
      <w:pPr>
        <w:pStyle w:val="9"/>
        <w:keepNext w:val="0"/>
        <w:keepLines w:val="0"/>
        <w:pageBreakBefore w:val="0"/>
        <w:widowControl/>
        <w:numPr>
          <w:ilvl w:val="0"/>
          <w:numId w:val="0"/>
        </w:numPr>
        <w:kinsoku/>
        <w:wordWrap/>
        <w:overflowPunct/>
        <w:topLinePunct w:val="0"/>
        <w:autoSpaceDE/>
        <w:autoSpaceDN/>
        <w:bidi w:val="0"/>
        <w:adjustRightInd/>
        <w:snapToGrid/>
        <w:spacing w:after="157" w:afterLines="50" w:line="240" w:lineRule="auto"/>
        <w:ind w:left="0" w:leftChars="0" w:firstLine="0" w:firstLineChars="0"/>
        <w:textAlignment w:val="auto"/>
        <w:rPr>
          <w:rFonts w:hint="default" w:eastAsia="宋体"/>
          <w:lang w:val="en-US" w:eastAsia="zh-CN"/>
        </w:rPr>
      </w:pPr>
      <w:r>
        <w:rPr>
          <w:rFonts w:hint="eastAsia"/>
          <w:lang w:val="en-US" w:eastAsia="zh-CN"/>
        </w:rPr>
        <w:t>[2] R4-2314677, WF on UE RF requirements for FR2-1 UL 256QAM, Toulouse, FR, RAN4#108</w:t>
      </w:r>
    </w:p>
    <w:p>
      <w:pPr>
        <w:keepNext w:val="0"/>
        <w:pageBreakBefore w:val="0"/>
        <w:kinsoku/>
        <w:wordWrap/>
        <w:overflowPunct/>
        <w:topLinePunct w:val="0"/>
        <w:autoSpaceDE/>
        <w:autoSpaceDN/>
        <w:bidi w:val="0"/>
        <w:spacing w:after="157" w:afterLines="50" w:line="240" w:lineRule="auto"/>
        <w:jc w:val="both"/>
        <w:rPr>
          <w:rFonts w:hint="eastAsia" w:cs="Times New Roman"/>
          <w:b/>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785" w:hanging="360"/>
      </w:pPr>
      <w:rPr>
        <w:rFonts w:hint="default" w:ascii="Courier New" w:hAnsi="Courier New" w:cs="Courier New"/>
      </w:rPr>
    </w:lvl>
    <w:lvl w:ilvl="2" w:tentative="0">
      <w:start w:val="1"/>
      <w:numFmt w:val="bullet"/>
      <w:lvlText w:val=""/>
      <w:lvlJc w:val="left"/>
      <w:pPr>
        <w:ind w:left="927"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B5F"/>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414"/>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80738E"/>
    <w:rsid w:val="018B3BAA"/>
    <w:rsid w:val="01945324"/>
    <w:rsid w:val="01957959"/>
    <w:rsid w:val="01BA0053"/>
    <w:rsid w:val="01CA556D"/>
    <w:rsid w:val="01DC1C82"/>
    <w:rsid w:val="01F86CD9"/>
    <w:rsid w:val="02065A2E"/>
    <w:rsid w:val="020928F5"/>
    <w:rsid w:val="0217354E"/>
    <w:rsid w:val="021A5187"/>
    <w:rsid w:val="02281CFD"/>
    <w:rsid w:val="0228598B"/>
    <w:rsid w:val="02343561"/>
    <w:rsid w:val="025B0AD8"/>
    <w:rsid w:val="02626E3D"/>
    <w:rsid w:val="02721826"/>
    <w:rsid w:val="02770E1A"/>
    <w:rsid w:val="028C48C4"/>
    <w:rsid w:val="0298367A"/>
    <w:rsid w:val="02D254EC"/>
    <w:rsid w:val="02DE07AA"/>
    <w:rsid w:val="02E43D5D"/>
    <w:rsid w:val="02F72239"/>
    <w:rsid w:val="02F759DA"/>
    <w:rsid w:val="02FE5F82"/>
    <w:rsid w:val="030F2294"/>
    <w:rsid w:val="03256F39"/>
    <w:rsid w:val="032D5AEE"/>
    <w:rsid w:val="03311F41"/>
    <w:rsid w:val="03334B44"/>
    <w:rsid w:val="033F2E50"/>
    <w:rsid w:val="035C5E5E"/>
    <w:rsid w:val="036F028C"/>
    <w:rsid w:val="03A05508"/>
    <w:rsid w:val="03AB67DC"/>
    <w:rsid w:val="03C77456"/>
    <w:rsid w:val="03CB41C8"/>
    <w:rsid w:val="04156C27"/>
    <w:rsid w:val="042B1DF5"/>
    <w:rsid w:val="043D2559"/>
    <w:rsid w:val="045D198A"/>
    <w:rsid w:val="046824A8"/>
    <w:rsid w:val="0478015E"/>
    <w:rsid w:val="04B43FA7"/>
    <w:rsid w:val="04BF26EE"/>
    <w:rsid w:val="04D16755"/>
    <w:rsid w:val="04D20004"/>
    <w:rsid w:val="04E54CF2"/>
    <w:rsid w:val="04EB6A3A"/>
    <w:rsid w:val="04F46C46"/>
    <w:rsid w:val="04FC2C75"/>
    <w:rsid w:val="050F2775"/>
    <w:rsid w:val="0526729B"/>
    <w:rsid w:val="05402104"/>
    <w:rsid w:val="054248F2"/>
    <w:rsid w:val="05510DD1"/>
    <w:rsid w:val="056B2455"/>
    <w:rsid w:val="05785C74"/>
    <w:rsid w:val="059160D0"/>
    <w:rsid w:val="05AE018C"/>
    <w:rsid w:val="05B32ECD"/>
    <w:rsid w:val="05DD2D8E"/>
    <w:rsid w:val="05E70C93"/>
    <w:rsid w:val="062A620F"/>
    <w:rsid w:val="063661E5"/>
    <w:rsid w:val="064B00B0"/>
    <w:rsid w:val="065C3A1D"/>
    <w:rsid w:val="06654A0B"/>
    <w:rsid w:val="06686223"/>
    <w:rsid w:val="06823D8F"/>
    <w:rsid w:val="06883FFB"/>
    <w:rsid w:val="068F48CC"/>
    <w:rsid w:val="06A023FD"/>
    <w:rsid w:val="06C11394"/>
    <w:rsid w:val="06C30854"/>
    <w:rsid w:val="06C375B4"/>
    <w:rsid w:val="06C93669"/>
    <w:rsid w:val="06CC69B4"/>
    <w:rsid w:val="06D84A8A"/>
    <w:rsid w:val="07122035"/>
    <w:rsid w:val="0734792D"/>
    <w:rsid w:val="074A5F1C"/>
    <w:rsid w:val="07622262"/>
    <w:rsid w:val="078F46FE"/>
    <w:rsid w:val="0793078D"/>
    <w:rsid w:val="07970803"/>
    <w:rsid w:val="07A9337A"/>
    <w:rsid w:val="07AB0366"/>
    <w:rsid w:val="07BA2D18"/>
    <w:rsid w:val="07CD3CDD"/>
    <w:rsid w:val="07E96697"/>
    <w:rsid w:val="080543B2"/>
    <w:rsid w:val="08315282"/>
    <w:rsid w:val="085145EC"/>
    <w:rsid w:val="085C2CEC"/>
    <w:rsid w:val="085D2367"/>
    <w:rsid w:val="085E5DBE"/>
    <w:rsid w:val="08721912"/>
    <w:rsid w:val="08774DBC"/>
    <w:rsid w:val="087B0F4C"/>
    <w:rsid w:val="087C4EF8"/>
    <w:rsid w:val="088467B6"/>
    <w:rsid w:val="08AD5856"/>
    <w:rsid w:val="08C13553"/>
    <w:rsid w:val="08C71DC3"/>
    <w:rsid w:val="08CA745A"/>
    <w:rsid w:val="08E37BAD"/>
    <w:rsid w:val="08EE2ED2"/>
    <w:rsid w:val="08F869E1"/>
    <w:rsid w:val="08FB28C9"/>
    <w:rsid w:val="090E17BC"/>
    <w:rsid w:val="090F5236"/>
    <w:rsid w:val="0924260A"/>
    <w:rsid w:val="092553BF"/>
    <w:rsid w:val="09294F7D"/>
    <w:rsid w:val="092C61F8"/>
    <w:rsid w:val="095C0F0C"/>
    <w:rsid w:val="09646BE3"/>
    <w:rsid w:val="09674661"/>
    <w:rsid w:val="097E672F"/>
    <w:rsid w:val="09825F02"/>
    <w:rsid w:val="09A2613C"/>
    <w:rsid w:val="09AB6C45"/>
    <w:rsid w:val="09E20449"/>
    <w:rsid w:val="09E5085D"/>
    <w:rsid w:val="09FC388C"/>
    <w:rsid w:val="0A0F5E0F"/>
    <w:rsid w:val="0A153B05"/>
    <w:rsid w:val="0A266EF1"/>
    <w:rsid w:val="0A2802DC"/>
    <w:rsid w:val="0A4B6F30"/>
    <w:rsid w:val="0A665D1E"/>
    <w:rsid w:val="0A731B50"/>
    <w:rsid w:val="0A8E34E6"/>
    <w:rsid w:val="0AAD14FD"/>
    <w:rsid w:val="0AB12E45"/>
    <w:rsid w:val="0AB60DEE"/>
    <w:rsid w:val="0AC9278E"/>
    <w:rsid w:val="0B2E106F"/>
    <w:rsid w:val="0B3E5ECD"/>
    <w:rsid w:val="0B61638C"/>
    <w:rsid w:val="0B724963"/>
    <w:rsid w:val="0B725220"/>
    <w:rsid w:val="0B7D64C0"/>
    <w:rsid w:val="0B802D0D"/>
    <w:rsid w:val="0B9A6376"/>
    <w:rsid w:val="0B9C3E91"/>
    <w:rsid w:val="0BC176FB"/>
    <w:rsid w:val="0BF37D09"/>
    <w:rsid w:val="0BF41031"/>
    <w:rsid w:val="0BF87BBD"/>
    <w:rsid w:val="0C0C5682"/>
    <w:rsid w:val="0C1D57F9"/>
    <w:rsid w:val="0C684AC1"/>
    <w:rsid w:val="0C7962B1"/>
    <w:rsid w:val="0C7A666C"/>
    <w:rsid w:val="0C867BFF"/>
    <w:rsid w:val="0C953742"/>
    <w:rsid w:val="0CA242EA"/>
    <w:rsid w:val="0CB30E04"/>
    <w:rsid w:val="0D141518"/>
    <w:rsid w:val="0D1561A4"/>
    <w:rsid w:val="0D1F2AE0"/>
    <w:rsid w:val="0D225A10"/>
    <w:rsid w:val="0D495A0D"/>
    <w:rsid w:val="0D4D2BE5"/>
    <w:rsid w:val="0D613BA3"/>
    <w:rsid w:val="0D744565"/>
    <w:rsid w:val="0D78361E"/>
    <w:rsid w:val="0D7F564D"/>
    <w:rsid w:val="0D835665"/>
    <w:rsid w:val="0DB243FB"/>
    <w:rsid w:val="0DC3083F"/>
    <w:rsid w:val="0DE052FE"/>
    <w:rsid w:val="0DFF2B1F"/>
    <w:rsid w:val="0E2340BB"/>
    <w:rsid w:val="0E3330D0"/>
    <w:rsid w:val="0E5576D4"/>
    <w:rsid w:val="0E7519BC"/>
    <w:rsid w:val="0E9E4D5A"/>
    <w:rsid w:val="0EAA7EC3"/>
    <w:rsid w:val="0EC82AA3"/>
    <w:rsid w:val="0ECE66B5"/>
    <w:rsid w:val="0EFC7665"/>
    <w:rsid w:val="0F11785B"/>
    <w:rsid w:val="0F193A29"/>
    <w:rsid w:val="0F21557B"/>
    <w:rsid w:val="0F372967"/>
    <w:rsid w:val="0F3747E7"/>
    <w:rsid w:val="0F3D56F1"/>
    <w:rsid w:val="0F5107D2"/>
    <w:rsid w:val="0F5413E6"/>
    <w:rsid w:val="0F5963C8"/>
    <w:rsid w:val="0F906704"/>
    <w:rsid w:val="0F9D754B"/>
    <w:rsid w:val="0FB630BA"/>
    <w:rsid w:val="0FDA7DDA"/>
    <w:rsid w:val="0FF721A8"/>
    <w:rsid w:val="0FFA1150"/>
    <w:rsid w:val="10490BAD"/>
    <w:rsid w:val="108F05CA"/>
    <w:rsid w:val="109241A4"/>
    <w:rsid w:val="109615A9"/>
    <w:rsid w:val="109658C1"/>
    <w:rsid w:val="10D6699E"/>
    <w:rsid w:val="10E63E4A"/>
    <w:rsid w:val="11104883"/>
    <w:rsid w:val="11291D63"/>
    <w:rsid w:val="112D72C6"/>
    <w:rsid w:val="113F3856"/>
    <w:rsid w:val="11683FF9"/>
    <w:rsid w:val="118C0750"/>
    <w:rsid w:val="11A50508"/>
    <w:rsid w:val="11A63D04"/>
    <w:rsid w:val="11C336B1"/>
    <w:rsid w:val="11DD6793"/>
    <w:rsid w:val="120639A8"/>
    <w:rsid w:val="12121726"/>
    <w:rsid w:val="123E5A4F"/>
    <w:rsid w:val="12447798"/>
    <w:rsid w:val="125D4125"/>
    <w:rsid w:val="12AA1F62"/>
    <w:rsid w:val="12AE4121"/>
    <w:rsid w:val="12C041D4"/>
    <w:rsid w:val="12CF1D40"/>
    <w:rsid w:val="12F7602D"/>
    <w:rsid w:val="13437E80"/>
    <w:rsid w:val="134C3538"/>
    <w:rsid w:val="13583391"/>
    <w:rsid w:val="137F4008"/>
    <w:rsid w:val="1390333E"/>
    <w:rsid w:val="139C110B"/>
    <w:rsid w:val="13C30FC1"/>
    <w:rsid w:val="13E476E4"/>
    <w:rsid w:val="13F672DD"/>
    <w:rsid w:val="140A2CA4"/>
    <w:rsid w:val="140C5848"/>
    <w:rsid w:val="1415743A"/>
    <w:rsid w:val="141B497D"/>
    <w:rsid w:val="14480142"/>
    <w:rsid w:val="144E5CD4"/>
    <w:rsid w:val="1483457B"/>
    <w:rsid w:val="1490192F"/>
    <w:rsid w:val="14933D0B"/>
    <w:rsid w:val="149B6760"/>
    <w:rsid w:val="14BF7340"/>
    <w:rsid w:val="14CA4A78"/>
    <w:rsid w:val="14D87DF4"/>
    <w:rsid w:val="14F13DA6"/>
    <w:rsid w:val="14FF6FC2"/>
    <w:rsid w:val="15060BB2"/>
    <w:rsid w:val="150824BE"/>
    <w:rsid w:val="15220493"/>
    <w:rsid w:val="15222491"/>
    <w:rsid w:val="15525599"/>
    <w:rsid w:val="155C1FAD"/>
    <w:rsid w:val="157674F6"/>
    <w:rsid w:val="157A419A"/>
    <w:rsid w:val="158270AF"/>
    <w:rsid w:val="158F210D"/>
    <w:rsid w:val="15BB0608"/>
    <w:rsid w:val="15BD398C"/>
    <w:rsid w:val="15C225B8"/>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D96177"/>
    <w:rsid w:val="16E7731D"/>
    <w:rsid w:val="1723727A"/>
    <w:rsid w:val="17276F5B"/>
    <w:rsid w:val="173A5D53"/>
    <w:rsid w:val="1764674F"/>
    <w:rsid w:val="176C095E"/>
    <w:rsid w:val="178F5381"/>
    <w:rsid w:val="179855D1"/>
    <w:rsid w:val="179F1E7A"/>
    <w:rsid w:val="17A37760"/>
    <w:rsid w:val="17A613DC"/>
    <w:rsid w:val="17AA27DB"/>
    <w:rsid w:val="17AF2DFF"/>
    <w:rsid w:val="17C527E0"/>
    <w:rsid w:val="18072BBA"/>
    <w:rsid w:val="180B6554"/>
    <w:rsid w:val="1831099E"/>
    <w:rsid w:val="184061B8"/>
    <w:rsid w:val="188A0D46"/>
    <w:rsid w:val="188D7449"/>
    <w:rsid w:val="189553E8"/>
    <w:rsid w:val="189A62E8"/>
    <w:rsid w:val="18AC426F"/>
    <w:rsid w:val="18EF4764"/>
    <w:rsid w:val="18F279A0"/>
    <w:rsid w:val="191372F1"/>
    <w:rsid w:val="191F2375"/>
    <w:rsid w:val="192A6B82"/>
    <w:rsid w:val="192A78E5"/>
    <w:rsid w:val="192C06DB"/>
    <w:rsid w:val="19395A35"/>
    <w:rsid w:val="19607D81"/>
    <w:rsid w:val="19640C89"/>
    <w:rsid w:val="196B73C9"/>
    <w:rsid w:val="197D1DB8"/>
    <w:rsid w:val="199503FD"/>
    <w:rsid w:val="19AF5CF6"/>
    <w:rsid w:val="19C63D4F"/>
    <w:rsid w:val="19C65E12"/>
    <w:rsid w:val="19C735BB"/>
    <w:rsid w:val="19DA3A4C"/>
    <w:rsid w:val="19F256A0"/>
    <w:rsid w:val="1A031334"/>
    <w:rsid w:val="1A0A0564"/>
    <w:rsid w:val="1A3F5603"/>
    <w:rsid w:val="1A454D8D"/>
    <w:rsid w:val="1A531553"/>
    <w:rsid w:val="1A623DEB"/>
    <w:rsid w:val="1A6A2C78"/>
    <w:rsid w:val="1A7728EC"/>
    <w:rsid w:val="1A8C67DA"/>
    <w:rsid w:val="1A941D78"/>
    <w:rsid w:val="1A9773C0"/>
    <w:rsid w:val="1A9B27DB"/>
    <w:rsid w:val="1AA54D0B"/>
    <w:rsid w:val="1AB92AF5"/>
    <w:rsid w:val="1AC63647"/>
    <w:rsid w:val="1AE00854"/>
    <w:rsid w:val="1AEA71EF"/>
    <w:rsid w:val="1B0D5CFB"/>
    <w:rsid w:val="1B2516D5"/>
    <w:rsid w:val="1B2B089B"/>
    <w:rsid w:val="1B3C4343"/>
    <w:rsid w:val="1B6B549A"/>
    <w:rsid w:val="1B870B5B"/>
    <w:rsid w:val="1BA220C5"/>
    <w:rsid w:val="1BA71412"/>
    <w:rsid w:val="1BBC09F6"/>
    <w:rsid w:val="1BBE4801"/>
    <w:rsid w:val="1BC7007B"/>
    <w:rsid w:val="1BD23E31"/>
    <w:rsid w:val="1BD34730"/>
    <w:rsid w:val="1BDF455D"/>
    <w:rsid w:val="1C1A373E"/>
    <w:rsid w:val="1C297CFC"/>
    <w:rsid w:val="1C3571F6"/>
    <w:rsid w:val="1C3672FA"/>
    <w:rsid w:val="1C3A751E"/>
    <w:rsid w:val="1C5D00DA"/>
    <w:rsid w:val="1C7D0C1A"/>
    <w:rsid w:val="1C7E2DD6"/>
    <w:rsid w:val="1C905109"/>
    <w:rsid w:val="1CA53FA1"/>
    <w:rsid w:val="1CAD4CCB"/>
    <w:rsid w:val="1CCC40C9"/>
    <w:rsid w:val="1CDD5D84"/>
    <w:rsid w:val="1CE0656D"/>
    <w:rsid w:val="1D186F9D"/>
    <w:rsid w:val="1D1C598A"/>
    <w:rsid w:val="1D504421"/>
    <w:rsid w:val="1D583075"/>
    <w:rsid w:val="1D7E7249"/>
    <w:rsid w:val="1D7F6660"/>
    <w:rsid w:val="1D956B63"/>
    <w:rsid w:val="1DA155EF"/>
    <w:rsid w:val="1DA251E1"/>
    <w:rsid w:val="1DA93704"/>
    <w:rsid w:val="1DC5127B"/>
    <w:rsid w:val="1DDE1A57"/>
    <w:rsid w:val="1DF679C8"/>
    <w:rsid w:val="1E224F27"/>
    <w:rsid w:val="1E2A7432"/>
    <w:rsid w:val="1E343C5D"/>
    <w:rsid w:val="1E37411F"/>
    <w:rsid w:val="1E5E301B"/>
    <w:rsid w:val="1E634732"/>
    <w:rsid w:val="1E752FA6"/>
    <w:rsid w:val="1ECF1323"/>
    <w:rsid w:val="1ECF4A99"/>
    <w:rsid w:val="1EDC33BC"/>
    <w:rsid w:val="1EF72D37"/>
    <w:rsid w:val="1F211865"/>
    <w:rsid w:val="1F295D72"/>
    <w:rsid w:val="1F4325C8"/>
    <w:rsid w:val="1F520B16"/>
    <w:rsid w:val="1F595BBB"/>
    <w:rsid w:val="1F7044DA"/>
    <w:rsid w:val="1F777E85"/>
    <w:rsid w:val="1F7C7957"/>
    <w:rsid w:val="1FC127CE"/>
    <w:rsid w:val="1FD21E35"/>
    <w:rsid w:val="1FD96681"/>
    <w:rsid w:val="1FE10390"/>
    <w:rsid w:val="1FE73560"/>
    <w:rsid w:val="1FEE7A9C"/>
    <w:rsid w:val="200E58BD"/>
    <w:rsid w:val="2041466C"/>
    <w:rsid w:val="204C064C"/>
    <w:rsid w:val="205164A7"/>
    <w:rsid w:val="207714C5"/>
    <w:rsid w:val="207B590B"/>
    <w:rsid w:val="2090238B"/>
    <w:rsid w:val="20A434B3"/>
    <w:rsid w:val="20BA4AFB"/>
    <w:rsid w:val="20BA6502"/>
    <w:rsid w:val="20CD6B95"/>
    <w:rsid w:val="20E737F7"/>
    <w:rsid w:val="20EC03B6"/>
    <w:rsid w:val="20EE04E5"/>
    <w:rsid w:val="212E17DE"/>
    <w:rsid w:val="213E655D"/>
    <w:rsid w:val="215026E7"/>
    <w:rsid w:val="21592706"/>
    <w:rsid w:val="216D7544"/>
    <w:rsid w:val="21712A16"/>
    <w:rsid w:val="21825FF7"/>
    <w:rsid w:val="218E2266"/>
    <w:rsid w:val="21900AEB"/>
    <w:rsid w:val="21B80AA5"/>
    <w:rsid w:val="21D2685E"/>
    <w:rsid w:val="21DF46F4"/>
    <w:rsid w:val="221703FC"/>
    <w:rsid w:val="222A0690"/>
    <w:rsid w:val="222A56CF"/>
    <w:rsid w:val="22305995"/>
    <w:rsid w:val="225216B5"/>
    <w:rsid w:val="225E20C5"/>
    <w:rsid w:val="227B42A0"/>
    <w:rsid w:val="228A40D4"/>
    <w:rsid w:val="228F22EB"/>
    <w:rsid w:val="22922A7B"/>
    <w:rsid w:val="22A03D45"/>
    <w:rsid w:val="22B37446"/>
    <w:rsid w:val="22CB0F22"/>
    <w:rsid w:val="22D279A8"/>
    <w:rsid w:val="22DE275C"/>
    <w:rsid w:val="22F05B87"/>
    <w:rsid w:val="23034661"/>
    <w:rsid w:val="23047581"/>
    <w:rsid w:val="230E6CDE"/>
    <w:rsid w:val="231D7D99"/>
    <w:rsid w:val="2342728C"/>
    <w:rsid w:val="234F141B"/>
    <w:rsid w:val="235408E6"/>
    <w:rsid w:val="23774488"/>
    <w:rsid w:val="23922691"/>
    <w:rsid w:val="23A308EE"/>
    <w:rsid w:val="23AD2144"/>
    <w:rsid w:val="23B07449"/>
    <w:rsid w:val="23D60547"/>
    <w:rsid w:val="23EB0393"/>
    <w:rsid w:val="23FD5BE3"/>
    <w:rsid w:val="240370EB"/>
    <w:rsid w:val="24072EA9"/>
    <w:rsid w:val="24386853"/>
    <w:rsid w:val="243E50DA"/>
    <w:rsid w:val="246D212F"/>
    <w:rsid w:val="24715F69"/>
    <w:rsid w:val="24760A5D"/>
    <w:rsid w:val="24992B5E"/>
    <w:rsid w:val="24A9218A"/>
    <w:rsid w:val="24B140D4"/>
    <w:rsid w:val="24B33FFF"/>
    <w:rsid w:val="24C569C9"/>
    <w:rsid w:val="24F17095"/>
    <w:rsid w:val="24F35147"/>
    <w:rsid w:val="24F907DC"/>
    <w:rsid w:val="250D35C2"/>
    <w:rsid w:val="252437DA"/>
    <w:rsid w:val="252A03F9"/>
    <w:rsid w:val="25324A24"/>
    <w:rsid w:val="25560FB4"/>
    <w:rsid w:val="256E3452"/>
    <w:rsid w:val="25821C68"/>
    <w:rsid w:val="25B022B3"/>
    <w:rsid w:val="25B91E90"/>
    <w:rsid w:val="25DD4552"/>
    <w:rsid w:val="25EF43C8"/>
    <w:rsid w:val="26075FA8"/>
    <w:rsid w:val="2623756A"/>
    <w:rsid w:val="262E08BF"/>
    <w:rsid w:val="26310EA6"/>
    <w:rsid w:val="263951B2"/>
    <w:rsid w:val="263E55AD"/>
    <w:rsid w:val="264B37D3"/>
    <w:rsid w:val="265B2B39"/>
    <w:rsid w:val="267F4FDD"/>
    <w:rsid w:val="26965DCF"/>
    <w:rsid w:val="269A23BD"/>
    <w:rsid w:val="26D609E2"/>
    <w:rsid w:val="270E2EF7"/>
    <w:rsid w:val="270F3C75"/>
    <w:rsid w:val="27157D13"/>
    <w:rsid w:val="27543CE2"/>
    <w:rsid w:val="276136D1"/>
    <w:rsid w:val="276521AF"/>
    <w:rsid w:val="2766357B"/>
    <w:rsid w:val="27814FF8"/>
    <w:rsid w:val="278E4856"/>
    <w:rsid w:val="27930B1B"/>
    <w:rsid w:val="279A6599"/>
    <w:rsid w:val="27A4419F"/>
    <w:rsid w:val="27A931B8"/>
    <w:rsid w:val="27C42CCD"/>
    <w:rsid w:val="27C957F9"/>
    <w:rsid w:val="27ED6C77"/>
    <w:rsid w:val="27EF2EB7"/>
    <w:rsid w:val="28096EEE"/>
    <w:rsid w:val="28140998"/>
    <w:rsid w:val="283146AB"/>
    <w:rsid w:val="2834674F"/>
    <w:rsid w:val="28460713"/>
    <w:rsid w:val="28563053"/>
    <w:rsid w:val="285C7146"/>
    <w:rsid w:val="285D2A4F"/>
    <w:rsid w:val="28685F9C"/>
    <w:rsid w:val="288837AF"/>
    <w:rsid w:val="288B5171"/>
    <w:rsid w:val="288C6204"/>
    <w:rsid w:val="28A96A0F"/>
    <w:rsid w:val="28B71B2C"/>
    <w:rsid w:val="28C92B51"/>
    <w:rsid w:val="28DD5033"/>
    <w:rsid w:val="28EE7A07"/>
    <w:rsid w:val="29003A13"/>
    <w:rsid w:val="29115557"/>
    <w:rsid w:val="291D162A"/>
    <w:rsid w:val="291F3AAD"/>
    <w:rsid w:val="292278A9"/>
    <w:rsid w:val="29284E13"/>
    <w:rsid w:val="293262FA"/>
    <w:rsid w:val="293C6591"/>
    <w:rsid w:val="294D06B9"/>
    <w:rsid w:val="298C2425"/>
    <w:rsid w:val="29A113D7"/>
    <w:rsid w:val="29A14B0F"/>
    <w:rsid w:val="29C74C47"/>
    <w:rsid w:val="29CD4516"/>
    <w:rsid w:val="29E94589"/>
    <w:rsid w:val="29F60818"/>
    <w:rsid w:val="2A1E2DE0"/>
    <w:rsid w:val="2A2B222C"/>
    <w:rsid w:val="2A331695"/>
    <w:rsid w:val="2A4A1ED4"/>
    <w:rsid w:val="2A553548"/>
    <w:rsid w:val="2A7049D1"/>
    <w:rsid w:val="2A9113E2"/>
    <w:rsid w:val="2A970008"/>
    <w:rsid w:val="2AA60E99"/>
    <w:rsid w:val="2AAE5692"/>
    <w:rsid w:val="2AB04251"/>
    <w:rsid w:val="2ABE7215"/>
    <w:rsid w:val="2ADB482F"/>
    <w:rsid w:val="2AE01B62"/>
    <w:rsid w:val="2AE558B3"/>
    <w:rsid w:val="2AE8229B"/>
    <w:rsid w:val="2AE92316"/>
    <w:rsid w:val="2AEC42E5"/>
    <w:rsid w:val="2B034D47"/>
    <w:rsid w:val="2B2629D8"/>
    <w:rsid w:val="2B271F5E"/>
    <w:rsid w:val="2B2E3C18"/>
    <w:rsid w:val="2B406C5D"/>
    <w:rsid w:val="2B4B1B15"/>
    <w:rsid w:val="2B641C02"/>
    <w:rsid w:val="2B6F681F"/>
    <w:rsid w:val="2B8302EB"/>
    <w:rsid w:val="2B844BD6"/>
    <w:rsid w:val="2B893BA3"/>
    <w:rsid w:val="2B992A15"/>
    <w:rsid w:val="2B9E2538"/>
    <w:rsid w:val="2BBC1D86"/>
    <w:rsid w:val="2BC82480"/>
    <w:rsid w:val="2BE155F5"/>
    <w:rsid w:val="2BEB375B"/>
    <w:rsid w:val="2BEB41DF"/>
    <w:rsid w:val="2C07332F"/>
    <w:rsid w:val="2C0C4D11"/>
    <w:rsid w:val="2C1A5D63"/>
    <w:rsid w:val="2C2907BF"/>
    <w:rsid w:val="2C3D63CE"/>
    <w:rsid w:val="2C5A1C73"/>
    <w:rsid w:val="2C5A6041"/>
    <w:rsid w:val="2C7208C6"/>
    <w:rsid w:val="2C80477B"/>
    <w:rsid w:val="2C8F4F35"/>
    <w:rsid w:val="2CA73FE3"/>
    <w:rsid w:val="2CAD6FE3"/>
    <w:rsid w:val="2CC91D44"/>
    <w:rsid w:val="2CD46AFB"/>
    <w:rsid w:val="2CDC2898"/>
    <w:rsid w:val="2CE15438"/>
    <w:rsid w:val="2D151F6D"/>
    <w:rsid w:val="2D1D4166"/>
    <w:rsid w:val="2D291F09"/>
    <w:rsid w:val="2D402CFE"/>
    <w:rsid w:val="2D5152AE"/>
    <w:rsid w:val="2D555CB7"/>
    <w:rsid w:val="2D595EBC"/>
    <w:rsid w:val="2D5E586A"/>
    <w:rsid w:val="2D61248D"/>
    <w:rsid w:val="2D6D5152"/>
    <w:rsid w:val="2D812190"/>
    <w:rsid w:val="2DA94150"/>
    <w:rsid w:val="2DBB0B00"/>
    <w:rsid w:val="2DD854F5"/>
    <w:rsid w:val="2E0C79CF"/>
    <w:rsid w:val="2E1176AC"/>
    <w:rsid w:val="2E26750E"/>
    <w:rsid w:val="2E2701FF"/>
    <w:rsid w:val="2E51332D"/>
    <w:rsid w:val="2E613ECA"/>
    <w:rsid w:val="2EA4705E"/>
    <w:rsid w:val="2EA5244A"/>
    <w:rsid w:val="2ECB7AE0"/>
    <w:rsid w:val="2EEA1087"/>
    <w:rsid w:val="2EEF5B78"/>
    <w:rsid w:val="2EF90C24"/>
    <w:rsid w:val="2F0E5D72"/>
    <w:rsid w:val="2F235269"/>
    <w:rsid w:val="2F322289"/>
    <w:rsid w:val="2F3770E3"/>
    <w:rsid w:val="2F45269A"/>
    <w:rsid w:val="2F494297"/>
    <w:rsid w:val="2F4B1C2D"/>
    <w:rsid w:val="2F691CE7"/>
    <w:rsid w:val="2F787B26"/>
    <w:rsid w:val="2F7D0DE5"/>
    <w:rsid w:val="2F8B1ECC"/>
    <w:rsid w:val="2F907976"/>
    <w:rsid w:val="2FA442D1"/>
    <w:rsid w:val="2FC15AF9"/>
    <w:rsid w:val="2FCF12B0"/>
    <w:rsid w:val="2FDC4E75"/>
    <w:rsid w:val="302C5AB3"/>
    <w:rsid w:val="302F30EA"/>
    <w:rsid w:val="30523FBD"/>
    <w:rsid w:val="3056178E"/>
    <w:rsid w:val="30571C73"/>
    <w:rsid w:val="306A1C37"/>
    <w:rsid w:val="308B7DB2"/>
    <w:rsid w:val="30943D7F"/>
    <w:rsid w:val="309460D4"/>
    <w:rsid w:val="309C7501"/>
    <w:rsid w:val="30A375B7"/>
    <w:rsid w:val="30A70282"/>
    <w:rsid w:val="30A819D5"/>
    <w:rsid w:val="30AE3572"/>
    <w:rsid w:val="30BF5B06"/>
    <w:rsid w:val="30DC4E37"/>
    <w:rsid w:val="30E21C94"/>
    <w:rsid w:val="30FF1022"/>
    <w:rsid w:val="3103748A"/>
    <w:rsid w:val="310D7287"/>
    <w:rsid w:val="312C2F69"/>
    <w:rsid w:val="31323502"/>
    <w:rsid w:val="313A0372"/>
    <w:rsid w:val="31414D46"/>
    <w:rsid w:val="3162168B"/>
    <w:rsid w:val="316535BE"/>
    <w:rsid w:val="316C26E3"/>
    <w:rsid w:val="31B6217A"/>
    <w:rsid w:val="31E57565"/>
    <w:rsid w:val="321A22CD"/>
    <w:rsid w:val="32305666"/>
    <w:rsid w:val="32452FD4"/>
    <w:rsid w:val="3254692A"/>
    <w:rsid w:val="32582533"/>
    <w:rsid w:val="32601632"/>
    <w:rsid w:val="328D4D87"/>
    <w:rsid w:val="328F399D"/>
    <w:rsid w:val="32987EA1"/>
    <w:rsid w:val="32A57DB8"/>
    <w:rsid w:val="32EC2013"/>
    <w:rsid w:val="33021368"/>
    <w:rsid w:val="33133DBA"/>
    <w:rsid w:val="33294831"/>
    <w:rsid w:val="332C5A43"/>
    <w:rsid w:val="33324BBF"/>
    <w:rsid w:val="334138EA"/>
    <w:rsid w:val="33491F36"/>
    <w:rsid w:val="33664E15"/>
    <w:rsid w:val="3373089A"/>
    <w:rsid w:val="33883009"/>
    <w:rsid w:val="339433F2"/>
    <w:rsid w:val="339F751B"/>
    <w:rsid w:val="33CC2F57"/>
    <w:rsid w:val="33FE59C9"/>
    <w:rsid w:val="3421003E"/>
    <w:rsid w:val="342542D1"/>
    <w:rsid w:val="342B07D0"/>
    <w:rsid w:val="34385515"/>
    <w:rsid w:val="346C2BDC"/>
    <w:rsid w:val="347A4842"/>
    <w:rsid w:val="347C1F8E"/>
    <w:rsid w:val="349E15E4"/>
    <w:rsid w:val="349E7311"/>
    <w:rsid w:val="34E63221"/>
    <w:rsid w:val="34EA3595"/>
    <w:rsid w:val="34F31159"/>
    <w:rsid w:val="34F61BA3"/>
    <w:rsid w:val="350C0171"/>
    <w:rsid w:val="35314625"/>
    <w:rsid w:val="35684E72"/>
    <w:rsid w:val="357201A0"/>
    <w:rsid w:val="35D34EB8"/>
    <w:rsid w:val="35E71299"/>
    <w:rsid w:val="35E72F09"/>
    <w:rsid w:val="35F26505"/>
    <w:rsid w:val="361A0DD1"/>
    <w:rsid w:val="363A75C1"/>
    <w:rsid w:val="36683E8D"/>
    <w:rsid w:val="368E7AA5"/>
    <w:rsid w:val="36950F43"/>
    <w:rsid w:val="36B17531"/>
    <w:rsid w:val="36B46A81"/>
    <w:rsid w:val="36C223BE"/>
    <w:rsid w:val="36C257C0"/>
    <w:rsid w:val="36C62770"/>
    <w:rsid w:val="36D44798"/>
    <w:rsid w:val="36ED1084"/>
    <w:rsid w:val="36EE6918"/>
    <w:rsid w:val="36F13745"/>
    <w:rsid w:val="36FF61C9"/>
    <w:rsid w:val="36FF7CEB"/>
    <w:rsid w:val="370B1A19"/>
    <w:rsid w:val="371366D9"/>
    <w:rsid w:val="371C32AC"/>
    <w:rsid w:val="371D6A40"/>
    <w:rsid w:val="37235D83"/>
    <w:rsid w:val="373C1BA5"/>
    <w:rsid w:val="374D082D"/>
    <w:rsid w:val="37836450"/>
    <w:rsid w:val="378E57E2"/>
    <w:rsid w:val="379452EB"/>
    <w:rsid w:val="379C6437"/>
    <w:rsid w:val="37A42BA6"/>
    <w:rsid w:val="37C3034A"/>
    <w:rsid w:val="38012801"/>
    <w:rsid w:val="380A2593"/>
    <w:rsid w:val="380F6191"/>
    <w:rsid w:val="383266B3"/>
    <w:rsid w:val="3863271E"/>
    <w:rsid w:val="386C1CFB"/>
    <w:rsid w:val="38804766"/>
    <w:rsid w:val="388B6EBF"/>
    <w:rsid w:val="388C38C8"/>
    <w:rsid w:val="388E6306"/>
    <w:rsid w:val="3891144C"/>
    <w:rsid w:val="38A343C3"/>
    <w:rsid w:val="38C927B2"/>
    <w:rsid w:val="38CA0360"/>
    <w:rsid w:val="38D02CFA"/>
    <w:rsid w:val="38DA32F7"/>
    <w:rsid w:val="38DC63BC"/>
    <w:rsid w:val="38E40513"/>
    <w:rsid w:val="38F217F7"/>
    <w:rsid w:val="38FA7B59"/>
    <w:rsid w:val="38FF405F"/>
    <w:rsid w:val="39001510"/>
    <w:rsid w:val="391A7C24"/>
    <w:rsid w:val="393853EE"/>
    <w:rsid w:val="393C349F"/>
    <w:rsid w:val="39474FFC"/>
    <w:rsid w:val="39A12E64"/>
    <w:rsid w:val="39BC72AB"/>
    <w:rsid w:val="39DF236E"/>
    <w:rsid w:val="39E030FB"/>
    <w:rsid w:val="39E551C2"/>
    <w:rsid w:val="3A004EFB"/>
    <w:rsid w:val="3A1D668F"/>
    <w:rsid w:val="3A280D85"/>
    <w:rsid w:val="3A5C417E"/>
    <w:rsid w:val="3A651C7C"/>
    <w:rsid w:val="3A8C19A6"/>
    <w:rsid w:val="3A985F9F"/>
    <w:rsid w:val="3A9D79B4"/>
    <w:rsid w:val="3ABD7DB0"/>
    <w:rsid w:val="3ABE7AAF"/>
    <w:rsid w:val="3AC24EB4"/>
    <w:rsid w:val="3AC906BD"/>
    <w:rsid w:val="3AC909EA"/>
    <w:rsid w:val="3ACA79CB"/>
    <w:rsid w:val="3ACD696C"/>
    <w:rsid w:val="3AF80E99"/>
    <w:rsid w:val="3B0048B4"/>
    <w:rsid w:val="3B1D04C9"/>
    <w:rsid w:val="3B564493"/>
    <w:rsid w:val="3B68666D"/>
    <w:rsid w:val="3B7B144D"/>
    <w:rsid w:val="3B7F12F6"/>
    <w:rsid w:val="3B924465"/>
    <w:rsid w:val="3B9C5361"/>
    <w:rsid w:val="3BA53541"/>
    <w:rsid w:val="3BA94452"/>
    <w:rsid w:val="3C031B6A"/>
    <w:rsid w:val="3C086B8B"/>
    <w:rsid w:val="3C1F3CDD"/>
    <w:rsid w:val="3C3318F7"/>
    <w:rsid w:val="3C5A7C30"/>
    <w:rsid w:val="3C7A34E1"/>
    <w:rsid w:val="3C857E1F"/>
    <w:rsid w:val="3C8B2EA4"/>
    <w:rsid w:val="3C98267C"/>
    <w:rsid w:val="3CA02F85"/>
    <w:rsid w:val="3CA30E32"/>
    <w:rsid w:val="3CAE115E"/>
    <w:rsid w:val="3CB6404C"/>
    <w:rsid w:val="3CC85F33"/>
    <w:rsid w:val="3CCB3008"/>
    <w:rsid w:val="3D005676"/>
    <w:rsid w:val="3D0970C8"/>
    <w:rsid w:val="3D16130D"/>
    <w:rsid w:val="3D230EF3"/>
    <w:rsid w:val="3D286D62"/>
    <w:rsid w:val="3D42795C"/>
    <w:rsid w:val="3D5A19A0"/>
    <w:rsid w:val="3D5D4541"/>
    <w:rsid w:val="3D606F86"/>
    <w:rsid w:val="3D6F2596"/>
    <w:rsid w:val="3D753E3B"/>
    <w:rsid w:val="3D7961D3"/>
    <w:rsid w:val="3D8F6A91"/>
    <w:rsid w:val="3DAD0C31"/>
    <w:rsid w:val="3DC16634"/>
    <w:rsid w:val="3DCB2FFC"/>
    <w:rsid w:val="3DCC4627"/>
    <w:rsid w:val="3DD00AF4"/>
    <w:rsid w:val="3DD7787E"/>
    <w:rsid w:val="3DE87386"/>
    <w:rsid w:val="3DF50B5D"/>
    <w:rsid w:val="3DFB0640"/>
    <w:rsid w:val="3E0061CE"/>
    <w:rsid w:val="3E1A5B77"/>
    <w:rsid w:val="3E24222C"/>
    <w:rsid w:val="3E3D115C"/>
    <w:rsid w:val="3E4E1DB0"/>
    <w:rsid w:val="3E7A1E1B"/>
    <w:rsid w:val="3E816ACA"/>
    <w:rsid w:val="3E970AC1"/>
    <w:rsid w:val="3EB57E73"/>
    <w:rsid w:val="3EBA3F51"/>
    <w:rsid w:val="3ED90D52"/>
    <w:rsid w:val="3EDA32C4"/>
    <w:rsid w:val="3EE75AFB"/>
    <w:rsid w:val="3EFA1463"/>
    <w:rsid w:val="3EFB0DA2"/>
    <w:rsid w:val="3F015166"/>
    <w:rsid w:val="3F15663C"/>
    <w:rsid w:val="3F18630F"/>
    <w:rsid w:val="3F1F4A80"/>
    <w:rsid w:val="3F2D08FC"/>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400021A9"/>
    <w:rsid w:val="40071F8E"/>
    <w:rsid w:val="40273EB3"/>
    <w:rsid w:val="403917EB"/>
    <w:rsid w:val="404F7A6B"/>
    <w:rsid w:val="40592A16"/>
    <w:rsid w:val="406623B1"/>
    <w:rsid w:val="40674790"/>
    <w:rsid w:val="406B17E1"/>
    <w:rsid w:val="40705D5D"/>
    <w:rsid w:val="4093799E"/>
    <w:rsid w:val="40970524"/>
    <w:rsid w:val="40A30E28"/>
    <w:rsid w:val="40AB266E"/>
    <w:rsid w:val="40C765F3"/>
    <w:rsid w:val="40E1213A"/>
    <w:rsid w:val="40E6301D"/>
    <w:rsid w:val="41071BAC"/>
    <w:rsid w:val="411E7076"/>
    <w:rsid w:val="41256FB7"/>
    <w:rsid w:val="41343624"/>
    <w:rsid w:val="4154071D"/>
    <w:rsid w:val="415E6D8D"/>
    <w:rsid w:val="41680B02"/>
    <w:rsid w:val="4172666D"/>
    <w:rsid w:val="419C5A30"/>
    <w:rsid w:val="41AA6F9D"/>
    <w:rsid w:val="41CD1A27"/>
    <w:rsid w:val="41CF3183"/>
    <w:rsid w:val="41DC1619"/>
    <w:rsid w:val="41E75166"/>
    <w:rsid w:val="41F149C4"/>
    <w:rsid w:val="41FA7589"/>
    <w:rsid w:val="42173DAF"/>
    <w:rsid w:val="422C5034"/>
    <w:rsid w:val="422F559A"/>
    <w:rsid w:val="424878B4"/>
    <w:rsid w:val="427D304C"/>
    <w:rsid w:val="428F581C"/>
    <w:rsid w:val="429D346C"/>
    <w:rsid w:val="429E77EF"/>
    <w:rsid w:val="42AD71C2"/>
    <w:rsid w:val="42AE14DC"/>
    <w:rsid w:val="42BA57D6"/>
    <w:rsid w:val="42C843A0"/>
    <w:rsid w:val="42E213EE"/>
    <w:rsid w:val="42F20CDD"/>
    <w:rsid w:val="432E7531"/>
    <w:rsid w:val="434941B7"/>
    <w:rsid w:val="434F64E2"/>
    <w:rsid w:val="43776349"/>
    <w:rsid w:val="43A46A86"/>
    <w:rsid w:val="43BA21AA"/>
    <w:rsid w:val="43BD281F"/>
    <w:rsid w:val="43CA6F51"/>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9D58A0"/>
    <w:rsid w:val="44AC3C12"/>
    <w:rsid w:val="44B2766E"/>
    <w:rsid w:val="44C82F04"/>
    <w:rsid w:val="44E51801"/>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B01F58"/>
    <w:rsid w:val="45B20B88"/>
    <w:rsid w:val="45B5636D"/>
    <w:rsid w:val="45C12874"/>
    <w:rsid w:val="45D35459"/>
    <w:rsid w:val="45D46A79"/>
    <w:rsid w:val="45DB4490"/>
    <w:rsid w:val="45E86B72"/>
    <w:rsid w:val="45ED56E7"/>
    <w:rsid w:val="45F60A50"/>
    <w:rsid w:val="46036BC7"/>
    <w:rsid w:val="461C511A"/>
    <w:rsid w:val="462778C6"/>
    <w:rsid w:val="462E101C"/>
    <w:rsid w:val="46462F04"/>
    <w:rsid w:val="46545EC0"/>
    <w:rsid w:val="465B1E86"/>
    <w:rsid w:val="465E648A"/>
    <w:rsid w:val="467847A0"/>
    <w:rsid w:val="4697740A"/>
    <w:rsid w:val="46C6208F"/>
    <w:rsid w:val="46F714E0"/>
    <w:rsid w:val="471C6A14"/>
    <w:rsid w:val="473010D7"/>
    <w:rsid w:val="4732695E"/>
    <w:rsid w:val="47334610"/>
    <w:rsid w:val="4753781A"/>
    <w:rsid w:val="47927375"/>
    <w:rsid w:val="47971FDC"/>
    <w:rsid w:val="47F0637D"/>
    <w:rsid w:val="47F40E9D"/>
    <w:rsid w:val="48252F6B"/>
    <w:rsid w:val="482C6CD1"/>
    <w:rsid w:val="4853345A"/>
    <w:rsid w:val="48782922"/>
    <w:rsid w:val="48845C84"/>
    <w:rsid w:val="48914098"/>
    <w:rsid w:val="48973F32"/>
    <w:rsid w:val="489C44D3"/>
    <w:rsid w:val="48CE17E0"/>
    <w:rsid w:val="48F82FC3"/>
    <w:rsid w:val="490D059B"/>
    <w:rsid w:val="490D3059"/>
    <w:rsid w:val="494C1910"/>
    <w:rsid w:val="49500FEB"/>
    <w:rsid w:val="49751781"/>
    <w:rsid w:val="4982678C"/>
    <w:rsid w:val="49982D33"/>
    <w:rsid w:val="49C4340C"/>
    <w:rsid w:val="49C4368E"/>
    <w:rsid w:val="49E077A2"/>
    <w:rsid w:val="49F32E1B"/>
    <w:rsid w:val="49F36AE3"/>
    <w:rsid w:val="49FF1C1E"/>
    <w:rsid w:val="4A0B7057"/>
    <w:rsid w:val="4A280667"/>
    <w:rsid w:val="4A2C0FA5"/>
    <w:rsid w:val="4A325FE0"/>
    <w:rsid w:val="4A495F41"/>
    <w:rsid w:val="4A511B6E"/>
    <w:rsid w:val="4A7C4548"/>
    <w:rsid w:val="4A863BCC"/>
    <w:rsid w:val="4A8E1463"/>
    <w:rsid w:val="4AC15779"/>
    <w:rsid w:val="4AD202C9"/>
    <w:rsid w:val="4ADE2C90"/>
    <w:rsid w:val="4AEE473A"/>
    <w:rsid w:val="4AF03277"/>
    <w:rsid w:val="4B2A6621"/>
    <w:rsid w:val="4B3D6072"/>
    <w:rsid w:val="4B5B5B93"/>
    <w:rsid w:val="4B7F2D98"/>
    <w:rsid w:val="4B850E6F"/>
    <w:rsid w:val="4B901389"/>
    <w:rsid w:val="4B987896"/>
    <w:rsid w:val="4B9969CA"/>
    <w:rsid w:val="4BA04F33"/>
    <w:rsid w:val="4BC05ECF"/>
    <w:rsid w:val="4BD05051"/>
    <w:rsid w:val="4BFE2AE1"/>
    <w:rsid w:val="4C0C6994"/>
    <w:rsid w:val="4C292792"/>
    <w:rsid w:val="4C2C30BE"/>
    <w:rsid w:val="4C2C46A1"/>
    <w:rsid w:val="4C3A2A9D"/>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513299"/>
    <w:rsid w:val="4D8D2AE5"/>
    <w:rsid w:val="4D9D5F78"/>
    <w:rsid w:val="4D9E74D1"/>
    <w:rsid w:val="4DA22392"/>
    <w:rsid w:val="4DBC2EE2"/>
    <w:rsid w:val="4DBE5704"/>
    <w:rsid w:val="4DF96CBC"/>
    <w:rsid w:val="4E171ADD"/>
    <w:rsid w:val="4E3A3C9A"/>
    <w:rsid w:val="4E4C233E"/>
    <w:rsid w:val="4E587FB5"/>
    <w:rsid w:val="4E6467C3"/>
    <w:rsid w:val="4E845F98"/>
    <w:rsid w:val="4E9A7FF9"/>
    <w:rsid w:val="4EAA36E5"/>
    <w:rsid w:val="4EB7180D"/>
    <w:rsid w:val="4ECB423B"/>
    <w:rsid w:val="4ECE0D1D"/>
    <w:rsid w:val="4ED26F97"/>
    <w:rsid w:val="4EDA7726"/>
    <w:rsid w:val="4EDF702E"/>
    <w:rsid w:val="4EF148C1"/>
    <w:rsid w:val="4EFE1926"/>
    <w:rsid w:val="4F020CCB"/>
    <w:rsid w:val="4F047884"/>
    <w:rsid w:val="4F0B4D90"/>
    <w:rsid w:val="4F186AC1"/>
    <w:rsid w:val="4F1E2479"/>
    <w:rsid w:val="4F5257BE"/>
    <w:rsid w:val="4F670186"/>
    <w:rsid w:val="4F6E77B9"/>
    <w:rsid w:val="4F7A3958"/>
    <w:rsid w:val="4F813AF7"/>
    <w:rsid w:val="4F823122"/>
    <w:rsid w:val="4F865BE9"/>
    <w:rsid w:val="4F901B16"/>
    <w:rsid w:val="4FA1011C"/>
    <w:rsid w:val="4FA5289F"/>
    <w:rsid w:val="4FB13BE4"/>
    <w:rsid w:val="4FBD6EC5"/>
    <w:rsid w:val="4FBF1AB2"/>
    <w:rsid w:val="4FC02A9C"/>
    <w:rsid w:val="4FD419FE"/>
    <w:rsid w:val="4FD74E40"/>
    <w:rsid w:val="4FE42B9D"/>
    <w:rsid w:val="4FE42D47"/>
    <w:rsid w:val="4FEF4F4B"/>
    <w:rsid w:val="50150A2D"/>
    <w:rsid w:val="50273D9F"/>
    <w:rsid w:val="504A5F6D"/>
    <w:rsid w:val="504B661D"/>
    <w:rsid w:val="504E5AC6"/>
    <w:rsid w:val="505076EF"/>
    <w:rsid w:val="505D5B88"/>
    <w:rsid w:val="505F3BD5"/>
    <w:rsid w:val="50757347"/>
    <w:rsid w:val="507820B7"/>
    <w:rsid w:val="508A0B34"/>
    <w:rsid w:val="509A0302"/>
    <w:rsid w:val="509E478B"/>
    <w:rsid w:val="50BE437A"/>
    <w:rsid w:val="50E042AF"/>
    <w:rsid w:val="50E77A58"/>
    <w:rsid w:val="511836CB"/>
    <w:rsid w:val="51394C04"/>
    <w:rsid w:val="513C5648"/>
    <w:rsid w:val="515143AB"/>
    <w:rsid w:val="515A17DC"/>
    <w:rsid w:val="51685DFA"/>
    <w:rsid w:val="51705953"/>
    <w:rsid w:val="51725D98"/>
    <w:rsid w:val="51736098"/>
    <w:rsid w:val="51B14BED"/>
    <w:rsid w:val="51BD4D7B"/>
    <w:rsid w:val="51C71898"/>
    <w:rsid w:val="51E462D3"/>
    <w:rsid w:val="51EE252C"/>
    <w:rsid w:val="51FA3D86"/>
    <w:rsid w:val="51FF0971"/>
    <w:rsid w:val="52022698"/>
    <w:rsid w:val="52064582"/>
    <w:rsid w:val="52122401"/>
    <w:rsid w:val="521734BE"/>
    <w:rsid w:val="52365D1B"/>
    <w:rsid w:val="523913EB"/>
    <w:rsid w:val="523A67B8"/>
    <w:rsid w:val="526965AA"/>
    <w:rsid w:val="52963B66"/>
    <w:rsid w:val="52A07902"/>
    <w:rsid w:val="52D71166"/>
    <w:rsid w:val="52E60C81"/>
    <w:rsid w:val="531E2281"/>
    <w:rsid w:val="53793823"/>
    <w:rsid w:val="537B7A51"/>
    <w:rsid w:val="53851D77"/>
    <w:rsid w:val="53906F76"/>
    <w:rsid w:val="539874D1"/>
    <w:rsid w:val="53A900B3"/>
    <w:rsid w:val="53BE4BF9"/>
    <w:rsid w:val="53D37BF3"/>
    <w:rsid w:val="53D43A38"/>
    <w:rsid w:val="53FE42EB"/>
    <w:rsid w:val="53FF3ABE"/>
    <w:rsid w:val="54175BE1"/>
    <w:rsid w:val="5445166E"/>
    <w:rsid w:val="54632332"/>
    <w:rsid w:val="546A5504"/>
    <w:rsid w:val="547236DF"/>
    <w:rsid w:val="547B4986"/>
    <w:rsid w:val="54944CE7"/>
    <w:rsid w:val="549555A5"/>
    <w:rsid w:val="54D62DF7"/>
    <w:rsid w:val="54E95C39"/>
    <w:rsid w:val="54F54ADE"/>
    <w:rsid w:val="54FC00A7"/>
    <w:rsid w:val="55072B2E"/>
    <w:rsid w:val="552A54CB"/>
    <w:rsid w:val="55436523"/>
    <w:rsid w:val="554575FA"/>
    <w:rsid w:val="554E1565"/>
    <w:rsid w:val="555125B1"/>
    <w:rsid w:val="55545557"/>
    <w:rsid w:val="556A455B"/>
    <w:rsid w:val="55852483"/>
    <w:rsid w:val="55B027EB"/>
    <w:rsid w:val="55BC338C"/>
    <w:rsid w:val="55CA20E9"/>
    <w:rsid w:val="55ED23C7"/>
    <w:rsid w:val="55F911F4"/>
    <w:rsid w:val="55FC080B"/>
    <w:rsid w:val="560C0036"/>
    <w:rsid w:val="561D279B"/>
    <w:rsid w:val="563064F8"/>
    <w:rsid w:val="563279D7"/>
    <w:rsid w:val="563B5487"/>
    <w:rsid w:val="563B762E"/>
    <w:rsid w:val="563C5184"/>
    <w:rsid w:val="565631F5"/>
    <w:rsid w:val="568E12A1"/>
    <w:rsid w:val="56915A65"/>
    <w:rsid w:val="56A63821"/>
    <w:rsid w:val="56C44CD3"/>
    <w:rsid w:val="56D75436"/>
    <w:rsid w:val="56E17FE8"/>
    <w:rsid w:val="56E83A21"/>
    <w:rsid w:val="57213FE5"/>
    <w:rsid w:val="575F25E8"/>
    <w:rsid w:val="578177D3"/>
    <w:rsid w:val="57AA7E41"/>
    <w:rsid w:val="57AC0C0D"/>
    <w:rsid w:val="57BC04B5"/>
    <w:rsid w:val="57C166D8"/>
    <w:rsid w:val="57D82681"/>
    <w:rsid w:val="57DE7DC1"/>
    <w:rsid w:val="57E76382"/>
    <w:rsid w:val="57F17A1A"/>
    <w:rsid w:val="581B09AF"/>
    <w:rsid w:val="582736FC"/>
    <w:rsid w:val="582E227B"/>
    <w:rsid w:val="583C79A9"/>
    <w:rsid w:val="583D0933"/>
    <w:rsid w:val="585D5B14"/>
    <w:rsid w:val="5872028B"/>
    <w:rsid w:val="588459A1"/>
    <w:rsid w:val="588F2A57"/>
    <w:rsid w:val="58983966"/>
    <w:rsid w:val="589D23AD"/>
    <w:rsid w:val="589E3B99"/>
    <w:rsid w:val="589F3533"/>
    <w:rsid w:val="58CA78F9"/>
    <w:rsid w:val="58D46D1B"/>
    <w:rsid w:val="58F5414C"/>
    <w:rsid w:val="58FF6291"/>
    <w:rsid w:val="590B15D2"/>
    <w:rsid w:val="593261D2"/>
    <w:rsid w:val="59423730"/>
    <w:rsid w:val="594A040E"/>
    <w:rsid w:val="59506815"/>
    <w:rsid w:val="59517F98"/>
    <w:rsid w:val="595A6E9E"/>
    <w:rsid w:val="597E00DF"/>
    <w:rsid w:val="5980128D"/>
    <w:rsid w:val="598F7EF4"/>
    <w:rsid w:val="59C61854"/>
    <w:rsid w:val="59FB6BE2"/>
    <w:rsid w:val="5A06033D"/>
    <w:rsid w:val="5A0E79AC"/>
    <w:rsid w:val="5A0F0265"/>
    <w:rsid w:val="5A123B05"/>
    <w:rsid w:val="5A142254"/>
    <w:rsid w:val="5A4B2EA3"/>
    <w:rsid w:val="5A7A6ABD"/>
    <w:rsid w:val="5A8F1C82"/>
    <w:rsid w:val="5AA04D8D"/>
    <w:rsid w:val="5AA333BB"/>
    <w:rsid w:val="5AB53D99"/>
    <w:rsid w:val="5ABD694F"/>
    <w:rsid w:val="5AC4773A"/>
    <w:rsid w:val="5AD85D6C"/>
    <w:rsid w:val="5AFF5DE6"/>
    <w:rsid w:val="5B111BFC"/>
    <w:rsid w:val="5B1E6976"/>
    <w:rsid w:val="5B4026E8"/>
    <w:rsid w:val="5B482E24"/>
    <w:rsid w:val="5B5A4228"/>
    <w:rsid w:val="5B686AC1"/>
    <w:rsid w:val="5B853A54"/>
    <w:rsid w:val="5B9D08DB"/>
    <w:rsid w:val="5BA8432B"/>
    <w:rsid w:val="5BAD5A86"/>
    <w:rsid w:val="5BCD41C3"/>
    <w:rsid w:val="5BFB493B"/>
    <w:rsid w:val="5C0025C0"/>
    <w:rsid w:val="5C3D1C65"/>
    <w:rsid w:val="5C6D1CB7"/>
    <w:rsid w:val="5C731C61"/>
    <w:rsid w:val="5C8005B3"/>
    <w:rsid w:val="5C9050DF"/>
    <w:rsid w:val="5C9A4DB7"/>
    <w:rsid w:val="5CA00536"/>
    <w:rsid w:val="5CC016AB"/>
    <w:rsid w:val="5D0728CF"/>
    <w:rsid w:val="5D1A01CE"/>
    <w:rsid w:val="5D1A39EE"/>
    <w:rsid w:val="5D280F3C"/>
    <w:rsid w:val="5D2B1474"/>
    <w:rsid w:val="5D411FCB"/>
    <w:rsid w:val="5D494B70"/>
    <w:rsid w:val="5D5C7688"/>
    <w:rsid w:val="5D615C0F"/>
    <w:rsid w:val="5D762C66"/>
    <w:rsid w:val="5D844DB8"/>
    <w:rsid w:val="5D865E73"/>
    <w:rsid w:val="5D9F7EE8"/>
    <w:rsid w:val="5DA93319"/>
    <w:rsid w:val="5DEF6B62"/>
    <w:rsid w:val="5DF47982"/>
    <w:rsid w:val="5E002949"/>
    <w:rsid w:val="5E224225"/>
    <w:rsid w:val="5E2732CD"/>
    <w:rsid w:val="5E284D50"/>
    <w:rsid w:val="5E294B38"/>
    <w:rsid w:val="5E336F39"/>
    <w:rsid w:val="5E3723C6"/>
    <w:rsid w:val="5E723BE9"/>
    <w:rsid w:val="5E7464E9"/>
    <w:rsid w:val="5E7E4092"/>
    <w:rsid w:val="5ED871EF"/>
    <w:rsid w:val="5EF5653C"/>
    <w:rsid w:val="5EFF2762"/>
    <w:rsid w:val="5F045F3A"/>
    <w:rsid w:val="5F0D642C"/>
    <w:rsid w:val="5F1C3DD8"/>
    <w:rsid w:val="5F3C716D"/>
    <w:rsid w:val="5F4F4D0F"/>
    <w:rsid w:val="5F5F081B"/>
    <w:rsid w:val="5F777336"/>
    <w:rsid w:val="5F862DF9"/>
    <w:rsid w:val="5FA257C6"/>
    <w:rsid w:val="5FB47FA0"/>
    <w:rsid w:val="5FB57D4D"/>
    <w:rsid w:val="5FCD3868"/>
    <w:rsid w:val="5FEE3BAD"/>
    <w:rsid w:val="5FF20BF7"/>
    <w:rsid w:val="5FF450F9"/>
    <w:rsid w:val="601E7125"/>
    <w:rsid w:val="60205F90"/>
    <w:rsid w:val="60217FCF"/>
    <w:rsid w:val="603F6E4B"/>
    <w:rsid w:val="604D1512"/>
    <w:rsid w:val="60595131"/>
    <w:rsid w:val="6061371C"/>
    <w:rsid w:val="608E2F6C"/>
    <w:rsid w:val="60BF382B"/>
    <w:rsid w:val="60C75F81"/>
    <w:rsid w:val="60CC3DDB"/>
    <w:rsid w:val="60DC4E84"/>
    <w:rsid w:val="60EC3C37"/>
    <w:rsid w:val="60F71F40"/>
    <w:rsid w:val="61247218"/>
    <w:rsid w:val="613D07C4"/>
    <w:rsid w:val="615C0F34"/>
    <w:rsid w:val="615C14A6"/>
    <w:rsid w:val="617A5318"/>
    <w:rsid w:val="618B3212"/>
    <w:rsid w:val="61A058F7"/>
    <w:rsid w:val="61A93693"/>
    <w:rsid w:val="61CD4121"/>
    <w:rsid w:val="61F2159D"/>
    <w:rsid w:val="61F4098A"/>
    <w:rsid w:val="62082A4E"/>
    <w:rsid w:val="6239245F"/>
    <w:rsid w:val="623C28E2"/>
    <w:rsid w:val="623F05F8"/>
    <w:rsid w:val="626D6E03"/>
    <w:rsid w:val="62855646"/>
    <w:rsid w:val="628E58B3"/>
    <w:rsid w:val="62BD3674"/>
    <w:rsid w:val="62CA193B"/>
    <w:rsid w:val="62D30A87"/>
    <w:rsid w:val="62D53BF4"/>
    <w:rsid w:val="630A4626"/>
    <w:rsid w:val="631E0963"/>
    <w:rsid w:val="632A4326"/>
    <w:rsid w:val="633A34E2"/>
    <w:rsid w:val="63483DC6"/>
    <w:rsid w:val="634C2265"/>
    <w:rsid w:val="635F2ADA"/>
    <w:rsid w:val="63610183"/>
    <w:rsid w:val="6367085D"/>
    <w:rsid w:val="636A45E1"/>
    <w:rsid w:val="637543E9"/>
    <w:rsid w:val="637947A5"/>
    <w:rsid w:val="63BD4B8F"/>
    <w:rsid w:val="63C82D94"/>
    <w:rsid w:val="63D0005D"/>
    <w:rsid w:val="63DE5D65"/>
    <w:rsid w:val="63E23D45"/>
    <w:rsid w:val="64337DBE"/>
    <w:rsid w:val="64456269"/>
    <w:rsid w:val="64467B93"/>
    <w:rsid w:val="64511EDE"/>
    <w:rsid w:val="64630D1E"/>
    <w:rsid w:val="6478176D"/>
    <w:rsid w:val="6486251A"/>
    <w:rsid w:val="648D2A88"/>
    <w:rsid w:val="64AB2A66"/>
    <w:rsid w:val="64B7605C"/>
    <w:rsid w:val="64BD6580"/>
    <w:rsid w:val="64DA5521"/>
    <w:rsid w:val="64E205AE"/>
    <w:rsid w:val="64E93EF1"/>
    <w:rsid w:val="64F17473"/>
    <w:rsid w:val="652564C3"/>
    <w:rsid w:val="652B096E"/>
    <w:rsid w:val="65530E49"/>
    <w:rsid w:val="65551112"/>
    <w:rsid w:val="65834C72"/>
    <w:rsid w:val="658B678B"/>
    <w:rsid w:val="65A71F82"/>
    <w:rsid w:val="65C649BC"/>
    <w:rsid w:val="65E73B66"/>
    <w:rsid w:val="66131984"/>
    <w:rsid w:val="66187135"/>
    <w:rsid w:val="662831A9"/>
    <w:rsid w:val="662C4F94"/>
    <w:rsid w:val="664A22D3"/>
    <w:rsid w:val="66787D6F"/>
    <w:rsid w:val="66B02E9B"/>
    <w:rsid w:val="66C17236"/>
    <w:rsid w:val="66C2270A"/>
    <w:rsid w:val="66D7305F"/>
    <w:rsid w:val="66E03EF6"/>
    <w:rsid w:val="66E16576"/>
    <w:rsid w:val="66E33C2D"/>
    <w:rsid w:val="66FE6FC6"/>
    <w:rsid w:val="66FF12A8"/>
    <w:rsid w:val="66FF6B44"/>
    <w:rsid w:val="671A4A9C"/>
    <w:rsid w:val="671B4A83"/>
    <w:rsid w:val="67365593"/>
    <w:rsid w:val="67427945"/>
    <w:rsid w:val="676811E7"/>
    <w:rsid w:val="678164D2"/>
    <w:rsid w:val="679F6750"/>
    <w:rsid w:val="67AF4AEE"/>
    <w:rsid w:val="67BC006F"/>
    <w:rsid w:val="67BE34F4"/>
    <w:rsid w:val="67CF00A6"/>
    <w:rsid w:val="67D079BF"/>
    <w:rsid w:val="67D7321C"/>
    <w:rsid w:val="67E04310"/>
    <w:rsid w:val="67E25FA2"/>
    <w:rsid w:val="67F21DDC"/>
    <w:rsid w:val="67F96D07"/>
    <w:rsid w:val="680872C5"/>
    <w:rsid w:val="68121D83"/>
    <w:rsid w:val="68233C28"/>
    <w:rsid w:val="683744CE"/>
    <w:rsid w:val="68667455"/>
    <w:rsid w:val="68CE29AC"/>
    <w:rsid w:val="68E34076"/>
    <w:rsid w:val="68F145B5"/>
    <w:rsid w:val="68FA5214"/>
    <w:rsid w:val="6906197A"/>
    <w:rsid w:val="690C637F"/>
    <w:rsid w:val="692A17F3"/>
    <w:rsid w:val="692A799A"/>
    <w:rsid w:val="69360DF4"/>
    <w:rsid w:val="693B629B"/>
    <w:rsid w:val="69477B83"/>
    <w:rsid w:val="699D4818"/>
    <w:rsid w:val="69B5149B"/>
    <w:rsid w:val="69BB4D82"/>
    <w:rsid w:val="69C27972"/>
    <w:rsid w:val="6A0B7E27"/>
    <w:rsid w:val="6A15604C"/>
    <w:rsid w:val="6A2E4954"/>
    <w:rsid w:val="6A5859DD"/>
    <w:rsid w:val="6A6A771D"/>
    <w:rsid w:val="6A6E396D"/>
    <w:rsid w:val="6AA507AA"/>
    <w:rsid w:val="6AC9421D"/>
    <w:rsid w:val="6AD53613"/>
    <w:rsid w:val="6AD94F47"/>
    <w:rsid w:val="6AE641A3"/>
    <w:rsid w:val="6AEF29C9"/>
    <w:rsid w:val="6B0221B8"/>
    <w:rsid w:val="6B281153"/>
    <w:rsid w:val="6B4C3B26"/>
    <w:rsid w:val="6B8D6111"/>
    <w:rsid w:val="6B975A68"/>
    <w:rsid w:val="6BA924EB"/>
    <w:rsid w:val="6BB3693A"/>
    <w:rsid w:val="6BB3754C"/>
    <w:rsid w:val="6BCE245B"/>
    <w:rsid w:val="6BDB0A87"/>
    <w:rsid w:val="6BEB5350"/>
    <w:rsid w:val="6BEC7C68"/>
    <w:rsid w:val="6C39658E"/>
    <w:rsid w:val="6C4C2667"/>
    <w:rsid w:val="6C554B1F"/>
    <w:rsid w:val="6C8B5F18"/>
    <w:rsid w:val="6CA51813"/>
    <w:rsid w:val="6CB17A00"/>
    <w:rsid w:val="6CCA6D7E"/>
    <w:rsid w:val="6CD40BE1"/>
    <w:rsid w:val="6CDA49A3"/>
    <w:rsid w:val="6CEC01FF"/>
    <w:rsid w:val="6CED7FA5"/>
    <w:rsid w:val="6CF00038"/>
    <w:rsid w:val="6CF36133"/>
    <w:rsid w:val="6D003617"/>
    <w:rsid w:val="6D27071C"/>
    <w:rsid w:val="6D2C0194"/>
    <w:rsid w:val="6D305B8F"/>
    <w:rsid w:val="6D38774B"/>
    <w:rsid w:val="6D3E46D7"/>
    <w:rsid w:val="6D406D15"/>
    <w:rsid w:val="6D565493"/>
    <w:rsid w:val="6D697EC5"/>
    <w:rsid w:val="6D6C5B21"/>
    <w:rsid w:val="6D704B0C"/>
    <w:rsid w:val="6D740FCF"/>
    <w:rsid w:val="6D776EFB"/>
    <w:rsid w:val="6D797F60"/>
    <w:rsid w:val="6D8E4430"/>
    <w:rsid w:val="6D960AA9"/>
    <w:rsid w:val="6DA25D26"/>
    <w:rsid w:val="6DAC34A1"/>
    <w:rsid w:val="6DD1076A"/>
    <w:rsid w:val="6DDE3DAF"/>
    <w:rsid w:val="6DF24EC9"/>
    <w:rsid w:val="6DF30B8E"/>
    <w:rsid w:val="6E0C6C88"/>
    <w:rsid w:val="6E1735DC"/>
    <w:rsid w:val="6E18260B"/>
    <w:rsid w:val="6E1F4ECD"/>
    <w:rsid w:val="6E2211D6"/>
    <w:rsid w:val="6E31278B"/>
    <w:rsid w:val="6E3B2AD1"/>
    <w:rsid w:val="6E406F3A"/>
    <w:rsid w:val="6E470C30"/>
    <w:rsid w:val="6E4A54B0"/>
    <w:rsid w:val="6E4D0886"/>
    <w:rsid w:val="6E652E13"/>
    <w:rsid w:val="6E8C7A11"/>
    <w:rsid w:val="6E9644A1"/>
    <w:rsid w:val="6EAC6909"/>
    <w:rsid w:val="6EBA6E94"/>
    <w:rsid w:val="6EBD64D7"/>
    <w:rsid w:val="6EC95E71"/>
    <w:rsid w:val="6ECF4331"/>
    <w:rsid w:val="6ED8575C"/>
    <w:rsid w:val="6EE13724"/>
    <w:rsid w:val="6EE24ED6"/>
    <w:rsid w:val="6EEF7332"/>
    <w:rsid w:val="6EF16478"/>
    <w:rsid w:val="6EF74B3E"/>
    <w:rsid w:val="6EFC0773"/>
    <w:rsid w:val="6F005353"/>
    <w:rsid w:val="6F02009A"/>
    <w:rsid w:val="6F0818E0"/>
    <w:rsid w:val="6F14633B"/>
    <w:rsid w:val="6F2D66D6"/>
    <w:rsid w:val="6F2F326F"/>
    <w:rsid w:val="6F4337FE"/>
    <w:rsid w:val="6F757C9C"/>
    <w:rsid w:val="6F7A0A72"/>
    <w:rsid w:val="6F981439"/>
    <w:rsid w:val="6FB23A01"/>
    <w:rsid w:val="6FBA4BA1"/>
    <w:rsid w:val="6FDC4815"/>
    <w:rsid w:val="6FEA3E2C"/>
    <w:rsid w:val="6FEB04D5"/>
    <w:rsid w:val="701241A0"/>
    <w:rsid w:val="702603AF"/>
    <w:rsid w:val="70531F9D"/>
    <w:rsid w:val="70726E65"/>
    <w:rsid w:val="70DB4B36"/>
    <w:rsid w:val="70E040A3"/>
    <w:rsid w:val="70E13200"/>
    <w:rsid w:val="70E91C33"/>
    <w:rsid w:val="70FF3D31"/>
    <w:rsid w:val="7139612D"/>
    <w:rsid w:val="714420CD"/>
    <w:rsid w:val="71546923"/>
    <w:rsid w:val="715F4C2D"/>
    <w:rsid w:val="716E56FB"/>
    <w:rsid w:val="71742846"/>
    <w:rsid w:val="71841719"/>
    <w:rsid w:val="71B15C2B"/>
    <w:rsid w:val="71E27EA1"/>
    <w:rsid w:val="72024D75"/>
    <w:rsid w:val="722B4090"/>
    <w:rsid w:val="723F5976"/>
    <w:rsid w:val="724530CF"/>
    <w:rsid w:val="72607C33"/>
    <w:rsid w:val="7275552C"/>
    <w:rsid w:val="72766BB2"/>
    <w:rsid w:val="72A97A08"/>
    <w:rsid w:val="72CB7F46"/>
    <w:rsid w:val="72D84E60"/>
    <w:rsid w:val="72F100A8"/>
    <w:rsid w:val="72FA6C6A"/>
    <w:rsid w:val="73121CB7"/>
    <w:rsid w:val="73127898"/>
    <w:rsid w:val="73134E8E"/>
    <w:rsid w:val="731F2161"/>
    <w:rsid w:val="732716BC"/>
    <w:rsid w:val="7332719A"/>
    <w:rsid w:val="735344A6"/>
    <w:rsid w:val="736816C1"/>
    <w:rsid w:val="73A36DC3"/>
    <w:rsid w:val="73B33483"/>
    <w:rsid w:val="73DE4D67"/>
    <w:rsid w:val="73FC6BEB"/>
    <w:rsid w:val="74016246"/>
    <w:rsid w:val="745A4881"/>
    <w:rsid w:val="745C121D"/>
    <w:rsid w:val="746D0FDE"/>
    <w:rsid w:val="74881C43"/>
    <w:rsid w:val="74B3391B"/>
    <w:rsid w:val="74DB0C49"/>
    <w:rsid w:val="74E40DB3"/>
    <w:rsid w:val="74F1132B"/>
    <w:rsid w:val="7514569D"/>
    <w:rsid w:val="751B5F96"/>
    <w:rsid w:val="75310AD0"/>
    <w:rsid w:val="755A08D5"/>
    <w:rsid w:val="755C4C37"/>
    <w:rsid w:val="75622CB1"/>
    <w:rsid w:val="75997C5C"/>
    <w:rsid w:val="75AA0C91"/>
    <w:rsid w:val="75B33C4A"/>
    <w:rsid w:val="75B84A01"/>
    <w:rsid w:val="75C863E2"/>
    <w:rsid w:val="75DA5365"/>
    <w:rsid w:val="75EA7032"/>
    <w:rsid w:val="75EC44C9"/>
    <w:rsid w:val="760C1517"/>
    <w:rsid w:val="7611078B"/>
    <w:rsid w:val="761A2E8D"/>
    <w:rsid w:val="76475DB4"/>
    <w:rsid w:val="765062E5"/>
    <w:rsid w:val="76725203"/>
    <w:rsid w:val="767263E3"/>
    <w:rsid w:val="767955BC"/>
    <w:rsid w:val="7689098F"/>
    <w:rsid w:val="768D7CD7"/>
    <w:rsid w:val="76A17FB6"/>
    <w:rsid w:val="76BA466D"/>
    <w:rsid w:val="76C2056E"/>
    <w:rsid w:val="771B710A"/>
    <w:rsid w:val="77245AA8"/>
    <w:rsid w:val="772870FB"/>
    <w:rsid w:val="773D2757"/>
    <w:rsid w:val="77430B38"/>
    <w:rsid w:val="774B7FB7"/>
    <w:rsid w:val="774D1291"/>
    <w:rsid w:val="77504D2A"/>
    <w:rsid w:val="775A26DD"/>
    <w:rsid w:val="775E0582"/>
    <w:rsid w:val="775F4656"/>
    <w:rsid w:val="776C25E5"/>
    <w:rsid w:val="776C3E9D"/>
    <w:rsid w:val="777146DC"/>
    <w:rsid w:val="77747495"/>
    <w:rsid w:val="7797606B"/>
    <w:rsid w:val="779E1F21"/>
    <w:rsid w:val="77B7237F"/>
    <w:rsid w:val="77E40842"/>
    <w:rsid w:val="77FD2C5E"/>
    <w:rsid w:val="78271104"/>
    <w:rsid w:val="782F5476"/>
    <w:rsid w:val="78464A37"/>
    <w:rsid w:val="784B7472"/>
    <w:rsid w:val="78661ED8"/>
    <w:rsid w:val="78861A8D"/>
    <w:rsid w:val="788F779E"/>
    <w:rsid w:val="78973BA6"/>
    <w:rsid w:val="78ED42D2"/>
    <w:rsid w:val="78F76941"/>
    <w:rsid w:val="78F82ED4"/>
    <w:rsid w:val="790114CB"/>
    <w:rsid w:val="7925703F"/>
    <w:rsid w:val="7931755D"/>
    <w:rsid w:val="794563F3"/>
    <w:rsid w:val="7962750F"/>
    <w:rsid w:val="796B0021"/>
    <w:rsid w:val="796F42FD"/>
    <w:rsid w:val="79701A60"/>
    <w:rsid w:val="797218E2"/>
    <w:rsid w:val="797F6705"/>
    <w:rsid w:val="79807FC2"/>
    <w:rsid w:val="799D6ABE"/>
    <w:rsid w:val="79B43C51"/>
    <w:rsid w:val="79B6170C"/>
    <w:rsid w:val="79BB3341"/>
    <w:rsid w:val="79D03D26"/>
    <w:rsid w:val="7A3466E6"/>
    <w:rsid w:val="7A410FED"/>
    <w:rsid w:val="7A4205D3"/>
    <w:rsid w:val="7A4F3DD9"/>
    <w:rsid w:val="7A577D70"/>
    <w:rsid w:val="7A5C3640"/>
    <w:rsid w:val="7A73566B"/>
    <w:rsid w:val="7A977FDA"/>
    <w:rsid w:val="7A9C218A"/>
    <w:rsid w:val="7A9C3F7D"/>
    <w:rsid w:val="7AB05BBC"/>
    <w:rsid w:val="7AB27F2F"/>
    <w:rsid w:val="7AB44E97"/>
    <w:rsid w:val="7AB740EE"/>
    <w:rsid w:val="7AB94AC3"/>
    <w:rsid w:val="7ABB47EB"/>
    <w:rsid w:val="7AE36910"/>
    <w:rsid w:val="7AEF7A90"/>
    <w:rsid w:val="7B07064A"/>
    <w:rsid w:val="7B0E6D55"/>
    <w:rsid w:val="7B100C91"/>
    <w:rsid w:val="7B144D45"/>
    <w:rsid w:val="7B211685"/>
    <w:rsid w:val="7B3E60A8"/>
    <w:rsid w:val="7B60366D"/>
    <w:rsid w:val="7B826E52"/>
    <w:rsid w:val="7B940404"/>
    <w:rsid w:val="7BB6238F"/>
    <w:rsid w:val="7BD173B3"/>
    <w:rsid w:val="7BD87503"/>
    <w:rsid w:val="7BDD38EC"/>
    <w:rsid w:val="7BF8597E"/>
    <w:rsid w:val="7C12395E"/>
    <w:rsid w:val="7C14711B"/>
    <w:rsid w:val="7C1932F5"/>
    <w:rsid w:val="7C312516"/>
    <w:rsid w:val="7C45431D"/>
    <w:rsid w:val="7C4A144B"/>
    <w:rsid w:val="7C51263D"/>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12CA3"/>
    <w:rsid w:val="7CF451D1"/>
    <w:rsid w:val="7CFF7E47"/>
    <w:rsid w:val="7D2A35D5"/>
    <w:rsid w:val="7D4C1C46"/>
    <w:rsid w:val="7D5B3E9F"/>
    <w:rsid w:val="7DAC49C4"/>
    <w:rsid w:val="7DB168E1"/>
    <w:rsid w:val="7DB44FBE"/>
    <w:rsid w:val="7DC26A8B"/>
    <w:rsid w:val="7DC64605"/>
    <w:rsid w:val="7DCF7966"/>
    <w:rsid w:val="7DDD0501"/>
    <w:rsid w:val="7E2653BA"/>
    <w:rsid w:val="7E2B63E7"/>
    <w:rsid w:val="7E5348C9"/>
    <w:rsid w:val="7E575DF3"/>
    <w:rsid w:val="7E8A1E6A"/>
    <w:rsid w:val="7E8B79FF"/>
    <w:rsid w:val="7E905860"/>
    <w:rsid w:val="7E9334E2"/>
    <w:rsid w:val="7E935AFB"/>
    <w:rsid w:val="7E9B5A36"/>
    <w:rsid w:val="7E9C3271"/>
    <w:rsid w:val="7EA32E1E"/>
    <w:rsid w:val="7EBE75B9"/>
    <w:rsid w:val="7EC05D56"/>
    <w:rsid w:val="7EC65AAB"/>
    <w:rsid w:val="7EDE3D14"/>
    <w:rsid w:val="7EE64951"/>
    <w:rsid w:val="7EE668F7"/>
    <w:rsid w:val="7EEE3EAD"/>
    <w:rsid w:val="7EF834F3"/>
    <w:rsid w:val="7F0D6B5A"/>
    <w:rsid w:val="7F185CB9"/>
    <w:rsid w:val="7F1D55DA"/>
    <w:rsid w:val="7F254E3D"/>
    <w:rsid w:val="7F297646"/>
    <w:rsid w:val="7F320715"/>
    <w:rsid w:val="7F392C72"/>
    <w:rsid w:val="7F424BA5"/>
    <w:rsid w:val="7F4610EC"/>
    <w:rsid w:val="7F50759A"/>
    <w:rsid w:val="7F5D7BDF"/>
    <w:rsid w:val="7F62141C"/>
    <w:rsid w:val="7F6D003B"/>
    <w:rsid w:val="7F73336C"/>
    <w:rsid w:val="7F7614D8"/>
    <w:rsid w:val="7F7A7D69"/>
    <w:rsid w:val="7F8029F6"/>
    <w:rsid w:val="7F822892"/>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794</Words>
  <Characters>3453</Characters>
  <Lines>1</Lines>
  <Paragraphs>1</Paragraphs>
  <TotalTime>8</TotalTime>
  <ScaleCrop>false</ScaleCrop>
  <LinksUpToDate>false</LinksUpToDate>
  <CharactersWithSpaces>4086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 Liu Ke</cp:lastModifiedBy>
  <cp:lastPrinted>2015-02-02T11:17:00Z</cp:lastPrinted>
  <dcterms:modified xsi:type="dcterms:W3CDTF">2023-11-03T08:19:36Z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